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10bis                             </w:t>
      </w:r>
      <w:r>
        <w:rPr>
          <w:rFonts w:hint="default" w:ascii="Arial" w:hAnsi="Arial" w:cs="Arial"/>
          <w:b/>
          <w:color w:val="auto"/>
          <w:sz w:val="24"/>
          <w:lang w:val="en-US" w:eastAsia="zh-CN"/>
        </w:rPr>
        <w:t>R4-2</w:t>
      </w:r>
      <w:r>
        <w:rPr>
          <w:rFonts w:hint="eastAsia" w:cs="Arial"/>
          <w:b/>
          <w:color w:val="auto"/>
          <w:sz w:val="24"/>
          <w:lang w:val="en-US" w:eastAsia="zh-CN"/>
        </w:rPr>
        <w:t>405119</w:t>
      </w:r>
    </w:p>
    <w:p>
      <w:pPr>
        <w:pStyle w:val="14"/>
        <w:keepNext w:val="0"/>
        <w:pageBreakBefore w:val="0"/>
        <w:tabs>
          <w:tab w:val="right" w:pos="9781"/>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Changsha, China</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xml:space="preserve"> </w:t>
      </w:r>
      <w:r>
        <w:rPr>
          <w:rFonts w:hint="eastAsia" w:eastAsia="宋体" w:cs="Arial"/>
          <w:b/>
          <w:sz w:val="24"/>
          <w:szCs w:val="24"/>
          <w:lang w:val="en-US" w:eastAsia="zh-CN"/>
        </w:rPr>
        <w:t>15</w:t>
      </w:r>
      <w:r>
        <w:rPr>
          <w:rFonts w:ascii="Arial" w:hAnsi="Arial" w:eastAsia="宋体" w:cs="Arial"/>
          <w:b/>
          <w:sz w:val="24"/>
          <w:szCs w:val="24"/>
          <w:lang w:eastAsia="zh-CN"/>
        </w:rPr>
        <w:t xml:space="preserve"> – </w:t>
      </w:r>
      <w:r>
        <w:rPr>
          <w:rFonts w:hint="eastAsia" w:eastAsia="宋体" w:cs="Arial"/>
          <w:b/>
          <w:sz w:val="24"/>
          <w:szCs w:val="24"/>
          <w:lang w:val="en-US" w:eastAsia="zh-CN"/>
        </w:rPr>
        <w:t>19</w:t>
      </w:r>
      <w:r>
        <w:rPr>
          <w:rFonts w:ascii="Arial" w:hAnsi="Arial" w:eastAsia="宋体" w:cs="Arial"/>
          <w:b/>
          <w:sz w:val="24"/>
          <w:szCs w:val="24"/>
          <w:lang w:eastAsia="zh-CN"/>
        </w:rPr>
        <w:t>, 202</w:t>
      </w:r>
      <w:r>
        <w:rPr>
          <w:rFonts w:hint="eastAsia" w:eastAsia="宋体" w:cs="Arial"/>
          <w:b/>
          <w:sz w:val="24"/>
          <w:szCs w:val="24"/>
          <w:lang w:val="en-US" w:eastAsia="zh-CN"/>
        </w:rPr>
        <w:t>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UE RF requirements for LP-WUS/WUR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9.14.2</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Discussion</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RAN#103 meeting, the WID on LP-WUS/WUR was agreed and RAN4 scope is as follows[1].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4"/>
              </w:numPr>
              <w:kinsoku/>
              <w:wordWrap/>
              <w:overflowPunct/>
              <w:topLinePunct w:val="0"/>
              <w:autoSpaceDE/>
              <w:autoSpaceDN/>
              <w:bidi w:val="0"/>
              <w:adjustRightInd/>
              <w:snapToGrid/>
              <w:spacing w:after="0" w:line="240" w:lineRule="auto"/>
              <w:ind w:hanging="357"/>
              <w:textAlignment w:val="auto"/>
              <w:rPr>
                <w:bCs/>
                <w:lang w:val="en-US"/>
              </w:rPr>
            </w:pPr>
            <w:r>
              <w:rPr>
                <w:rFonts w:hint="eastAsia"/>
                <w:bCs/>
                <w:lang w:val="en-US"/>
              </w:rPr>
              <w:t>Specify the necessary RAN4 core requirement(s) to support the feature (RAN4).</w:t>
            </w:r>
          </w:p>
          <w:p>
            <w:pPr>
              <w:keepNext w:val="0"/>
              <w:keepLines w:val="0"/>
              <w:pageBreakBefore w:val="0"/>
              <w:widowControl/>
              <w:numPr>
                <w:ilvl w:val="1"/>
                <w:numId w:val="4"/>
              </w:numPr>
              <w:kinsoku/>
              <w:wordWrap/>
              <w:overflowPunct/>
              <w:topLinePunct w:val="0"/>
              <w:autoSpaceDE/>
              <w:autoSpaceDN/>
              <w:bidi w:val="0"/>
              <w:adjustRightInd/>
              <w:snapToGrid/>
              <w:spacing w:after="0" w:line="240" w:lineRule="auto"/>
              <w:textAlignment w:val="auto"/>
              <w:rPr>
                <w:bCs/>
                <w:lang w:val="en-US"/>
              </w:rPr>
            </w:pPr>
            <w:bookmarkStart w:id="0" w:name="OLE_LINK1"/>
            <w:r>
              <w:rPr>
                <w:bCs/>
                <w:lang w:val="en-US"/>
              </w:rPr>
              <w:t>Specify UE low-power wake-up receiver requirements</w:t>
            </w:r>
            <w:r>
              <w:rPr>
                <w:rFonts w:hint="eastAsia"/>
                <w:bCs/>
                <w:lang w:val="en-US" w:eastAsia="zh-CN"/>
              </w:rPr>
              <w:t>,</w:t>
            </w:r>
            <w:r>
              <w:rPr>
                <w:bCs/>
                <w:lang w:val="en-US" w:eastAsia="zh-CN"/>
              </w:rPr>
              <w:t xml:space="preserve"> at least </w:t>
            </w:r>
            <w:r>
              <w:rPr>
                <w:bCs/>
                <w:lang w:val="en-US"/>
              </w:rPr>
              <w:t xml:space="preserve">REFSENS, ACS and ASCS requirements with consideration of possible new methodology to assess the </w:t>
            </w:r>
            <w:bookmarkEnd w:id="0"/>
            <w:r>
              <w:rPr>
                <w:bCs/>
                <w:lang w:val="en-US"/>
              </w:rPr>
              <w:t>low-power wake-up receiver performance</w:t>
            </w:r>
          </w:p>
          <w:p>
            <w:pPr>
              <w:keepNext w:val="0"/>
              <w:keepLines w:val="0"/>
              <w:pageBreakBefore w:val="0"/>
              <w:widowControl/>
              <w:numPr>
                <w:ilvl w:val="2"/>
                <w:numId w:val="4"/>
              </w:numPr>
              <w:kinsoku/>
              <w:wordWrap/>
              <w:overflowPunct/>
              <w:topLinePunct w:val="0"/>
              <w:autoSpaceDE/>
              <w:autoSpaceDN/>
              <w:bidi w:val="0"/>
              <w:adjustRightInd/>
              <w:snapToGrid/>
              <w:spacing w:after="0" w:line="240" w:lineRule="auto"/>
              <w:textAlignment w:val="auto"/>
              <w:rPr>
                <w:bCs/>
                <w:lang w:val="en-US"/>
              </w:rPr>
            </w:pPr>
            <w:r>
              <w:rPr>
                <w:bCs/>
                <w:lang w:val="en-US"/>
              </w:rPr>
              <w:t>Define guard RBs for ACS and ASCS cases</w:t>
            </w:r>
          </w:p>
          <w:p>
            <w:pPr>
              <w:keepNext w:val="0"/>
              <w:keepLines w:val="0"/>
              <w:pageBreakBefore w:val="0"/>
              <w:widowControl/>
              <w:numPr>
                <w:ilvl w:val="2"/>
                <w:numId w:val="4"/>
              </w:numPr>
              <w:kinsoku/>
              <w:wordWrap/>
              <w:overflowPunct/>
              <w:topLinePunct w:val="0"/>
              <w:autoSpaceDE/>
              <w:autoSpaceDN/>
              <w:bidi w:val="0"/>
              <w:adjustRightInd/>
              <w:snapToGrid/>
              <w:spacing w:after="0" w:line="240" w:lineRule="auto"/>
              <w:textAlignment w:val="auto"/>
              <w:rPr>
                <w:bCs/>
                <w:lang w:val="en-US"/>
              </w:rPr>
            </w:pPr>
            <w:r>
              <w:rPr>
                <w:bCs/>
                <w:lang w:val="en-US"/>
              </w:rPr>
              <w:t>Study testability of above requirements</w:t>
            </w:r>
          </w:p>
          <w:p>
            <w:pPr>
              <w:keepNext w:val="0"/>
              <w:keepLines w:val="0"/>
              <w:pageBreakBefore w:val="0"/>
              <w:widowControl/>
              <w:numPr>
                <w:ilvl w:val="2"/>
                <w:numId w:val="4"/>
              </w:numPr>
              <w:kinsoku/>
              <w:wordWrap/>
              <w:overflowPunct/>
              <w:topLinePunct w:val="0"/>
              <w:autoSpaceDE/>
              <w:autoSpaceDN/>
              <w:bidi w:val="0"/>
              <w:adjustRightInd/>
              <w:snapToGrid/>
              <w:spacing w:after="0" w:line="240" w:lineRule="auto"/>
              <w:textAlignment w:val="auto"/>
              <w:rPr>
                <w:bCs/>
                <w:lang w:val="en-US"/>
              </w:rPr>
            </w:pPr>
            <w:r>
              <w:rPr>
                <w:bCs/>
                <w:lang w:val="en-US"/>
              </w:rPr>
              <w:t xml:space="preserve">Consider impacts of different architecture and impairments, </w:t>
            </w:r>
            <w:r>
              <w:rPr>
                <w:rFonts w:hint="eastAsia"/>
              </w:rPr>
              <w:t>and set requirements that enable all types of reasonable implementation</w:t>
            </w:r>
            <w:r>
              <w:rPr>
                <w:bCs/>
                <w:lang w:val="en-US"/>
              </w:rPr>
              <w:t xml:space="preserve"> </w:t>
            </w:r>
          </w:p>
          <w:p>
            <w:pPr>
              <w:keepNext w:val="0"/>
              <w:keepLines w:val="0"/>
              <w:pageBreakBefore w:val="0"/>
              <w:widowControl/>
              <w:numPr>
                <w:ilvl w:val="1"/>
                <w:numId w:val="4"/>
              </w:numPr>
              <w:kinsoku/>
              <w:wordWrap/>
              <w:overflowPunct/>
              <w:topLinePunct w:val="0"/>
              <w:autoSpaceDE/>
              <w:autoSpaceDN/>
              <w:bidi w:val="0"/>
              <w:adjustRightInd/>
              <w:snapToGrid/>
              <w:spacing w:after="0" w:line="240" w:lineRule="auto"/>
              <w:textAlignment w:val="auto"/>
              <w:rPr>
                <w:bCs/>
                <w:lang w:val="en-US"/>
              </w:rPr>
            </w:pPr>
            <w:r>
              <w:rPr>
                <w:bCs/>
              </w:rPr>
              <w:t>Study and</w:t>
            </w:r>
            <w:r>
              <w:t xml:space="preserve"> if necessary</w:t>
            </w:r>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pPr>
              <w:keepNext w:val="0"/>
              <w:keepLines w:val="0"/>
              <w:pageBreakBefore w:val="0"/>
              <w:widowControl/>
              <w:numPr>
                <w:ilvl w:val="2"/>
                <w:numId w:val="4"/>
              </w:numPr>
              <w:kinsoku/>
              <w:wordWrap/>
              <w:overflowPunct/>
              <w:topLinePunct w:val="0"/>
              <w:autoSpaceDE/>
              <w:autoSpaceDN/>
              <w:bidi w:val="0"/>
              <w:adjustRightInd/>
              <w:snapToGrid/>
              <w:spacing w:after="0" w:line="240" w:lineRule="auto"/>
              <w:textAlignment w:val="auto"/>
              <w:rPr>
                <w:bCs/>
                <w:lang w:val="en-US"/>
              </w:rPr>
            </w:pPr>
            <w:r>
              <w:t>C</w:t>
            </w:r>
            <w:r>
              <w:rPr>
                <w:bCs/>
              </w:rPr>
              <w:t>urrent NR BS requirements is baseline</w:t>
            </w:r>
          </w:p>
          <w:p>
            <w:pPr>
              <w:keepNext w:val="0"/>
              <w:keepLines w:val="0"/>
              <w:pageBreakBefore w:val="0"/>
              <w:widowControl/>
              <w:numPr>
                <w:ilvl w:val="1"/>
                <w:numId w:val="4"/>
              </w:numPr>
              <w:kinsoku/>
              <w:wordWrap/>
              <w:overflowPunct/>
              <w:topLinePunct w:val="0"/>
              <w:autoSpaceDE/>
              <w:autoSpaceDN/>
              <w:bidi w:val="0"/>
              <w:adjustRightInd/>
              <w:snapToGrid/>
              <w:spacing w:after="0" w:line="240" w:lineRule="auto"/>
              <w:textAlignment w:val="auto"/>
              <w:rPr>
                <w:rFonts w:hint="default"/>
                <w:bCs/>
                <w:i w:val="0"/>
                <w:iCs w:val="0"/>
                <w:kern w:val="0"/>
                <w:sz w:val="20"/>
                <w:szCs w:val="20"/>
                <w:highlight w:val="none"/>
                <w:vertAlign w:val="baseline"/>
                <w:lang w:val="en-US" w:eastAsia="zh-CN"/>
              </w:rPr>
            </w:pPr>
            <w:r>
              <w:rPr>
                <w:bCs/>
              </w:rPr>
              <w:t>Specify necessary RRM requirements</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kern w:val="0"/>
          <w:sz w:val="20"/>
          <w:szCs w:val="20"/>
          <w:highlight w:val="none"/>
          <w:lang w:val="en-US" w:eastAsia="zh-CN"/>
        </w:rPr>
        <w:t>In this contribution,</w:t>
      </w:r>
      <w:r>
        <w:rPr>
          <w:rFonts w:hint="eastAsia"/>
          <w:bCs/>
          <w:i w:val="0"/>
          <w:iCs w:val="0"/>
          <w:color w:val="auto"/>
          <w:kern w:val="0"/>
          <w:sz w:val="20"/>
          <w:szCs w:val="20"/>
          <w:highlight w:val="none"/>
          <w:lang w:val="en-US" w:eastAsia="zh-CN"/>
        </w:rPr>
        <w:t xml:space="preserve"> we provided some preliminary simulation results on guard RBs for ASCS.</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In SI phase, RAN4 agreed to adopt two approached for guard RB evaluation, i.e., filter suppression level analysis and link level simulation, and some related simulation assumptions has been listed in Table 1[2].</w:t>
      </w:r>
    </w:p>
    <w:p>
      <w:pPr>
        <w:keepNext w:val="0"/>
        <w:keepLines w:val="0"/>
        <w:pageBreakBefore w:val="0"/>
        <w:widowControl/>
        <w:kinsoku/>
        <w:wordWrap/>
        <w:overflowPunct/>
        <w:topLinePunct w:val="0"/>
        <w:autoSpaceDE/>
        <w:autoSpaceDN/>
        <w:bidi w:val="0"/>
        <w:adjustRightInd/>
        <w:snapToGrid/>
        <w:spacing w:before="120" w:after="0" w:line="240" w:lineRule="auto"/>
        <w:jc w:val="center"/>
        <w:textAlignment w:val="auto"/>
        <w:outlineLvl w:val="9"/>
        <w:rPr>
          <w:b/>
          <w:bCs/>
          <w:lang w:eastAsia="zh-CN"/>
        </w:rPr>
      </w:pPr>
      <w:r>
        <w:rPr>
          <w:rFonts w:hint="eastAsia"/>
          <w:b/>
          <w:bCs/>
          <w:lang w:val="en-US" w:eastAsia="zh-CN"/>
        </w:rPr>
        <w:t xml:space="preserve">Table 1  </w:t>
      </w:r>
      <w:r>
        <w:rPr>
          <w:b/>
          <w:bCs/>
          <w:lang w:eastAsia="zh-CN"/>
        </w:rPr>
        <w:t>LP-WUS evaluation parameters for WUS at centre</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8"/>
        <w:gridCol w:w="4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NR RF channel BW</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b/>
                <w:lang w:val="de-DE"/>
              </w:rPr>
            </w:pPr>
            <w:r>
              <w:rPr>
                <w:lang w:val="de-DE"/>
              </w:rPr>
              <w:t>20MHz/100MHz for 5MHz 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Guardband of NR channel</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Unchanged, defined in Clause 5.3.3 in TS 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WUS BW within NR channel</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Max 5.04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WUS RB allocation (Note 1)</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24 RB (15kHz SCS) or 12 RB (30kHz SCS) in 5.04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WUS placement within NR channel</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case 1: Center;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Guard RB size of LP-WUS</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0 RB, 0.5RB,1RB, 2RB, 3RB at each side</w:t>
            </w:r>
          </w:p>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Symmetric guard RB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ASCS interferer</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5MHz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Filter characteristic</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2</w:t>
            </w:r>
            <w:r>
              <w:rPr>
                <w:vertAlign w:val="superscript"/>
                <w:lang w:val="en-US"/>
              </w:rPr>
              <w:t>nd</w:t>
            </w:r>
            <w:r>
              <w:rPr>
                <w:lang w:val="en-US"/>
              </w:rPr>
              <w:t xml:space="preserve"> to 5</w:t>
            </w:r>
            <w:r>
              <w:rPr>
                <w:vertAlign w:val="superscript"/>
                <w:lang w:val="en-US"/>
              </w:rPr>
              <w:t>th</w:t>
            </w:r>
            <w:r>
              <w:rPr>
                <w:lang w:val="en-US"/>
              </w:rPr>
              <w:t xml:space="preserve"> order Butterworth</w:t>
            </w:r>
          </w:p>
          <w:p>
            <w:pPr>
              <w:pStyle w:val="36"/>
              <w:keepNext/>
              <w:keepLines/>
              <w:pageBreakBefore w:val="0"/>
              <w:widowControl/>
              <w:kinsoku/>
              <w:wordWrap/>
              <w:overflowPunct/>
              <w:topLinePunct w:val="0"/>
              <w:autoSpaceDE/>
              <w:autoSpaceDN/>
              <w:bidi w:val="0"/>
              <w:adjustRightInd/>
              <w:snapToGrid w:val="0"/>
              <w:spacing w:after="0" w:line="240" w:lineRule="auto"/>
              <w:textAlignment w:val="auto"/>
              <w:rPr>
                <w:szCs w:val="21"/>
              </w:rPr>
            </w:pPr>
            <w:r>
              <w:rPr>
                <w:szCs w:val="21"/>
              </w:rPr>
              <w:t>lowpass@ baseband</w:t>
            </w:r>
          </w:p>
          <w:p>
            <w:pPr>
              <w:pStyle w:val="36"/>
              <w:keepNext/>
              <w:keepLines/>
              <w:pageBreakBefore w:val="0"/>
              <w:widowControl/>
              <w:kinsoku/>
              <w:wordWrap/>
              <w:overflowPunct/>
              <w:topLinePunct w:val="0"/>
              <w:autoSpaceDE/>
              <w:autoSpaceDN/>
              <w:bidi w:val="0"/>
              <w:adjustRightInd/>
              <w:snapToGrid w:val="0"/>
              <w:spacing w:after="0" w:line="240" w:lineRule="auto"/>
              <w:textAlignment w:val="auto"/>
              <w:rPr>
                <w:szCs w:val="21"/>
              </w:rPr>
            </w:pPr>
            <w:r>
              <w:rPr>
                <w:szCs w:val="21"/>
              </w:rPr>
              <w:t>bandpass@100MHz</w:t>
            </w:r>
          </w:p>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szCs w:val="21"/>
              </w:rPr>
              <w:t>bandpass@2.6GHz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Filter passband BW</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Same as WUS bandwidth (number of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en-US"/>
              </w:rPr>
            </w:pPr>
            <w:r>
              <w:rPr>
                <w:highlight w:val="none"/>
                <w:lang w:val="en-US"/>
              </w:rPr>
              <w:t>Target ACS</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en-US"/>
              </w:rPr>
            </w:pPr>
            <w:r>
              <w:rPr>
                <w:highlight w:val="none"/>
                <w:lang w:val="en-US"/>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en-US"/>
              </w:rPr>
            </w:pPr>
            <w:r>
              <w:rPr>
                <w:highlight w:val="none"/>
                <w:lang w:val="en-US"/>
              </w:rPr>
              <w:t>Target ASCS</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en-US"/>
              </w:rPr>
            </w:pPr>
            <w:r>
              <w:rPr>
                <w:highlight w:val="none"/>
                <w:lang w:val="en-US"/>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en-US"/>
              </w:rPr>
            </w:pPr>
            <w:r>
              <w:rPr>
                <w:highlight w:val="none"/>
                <w:lang w:val="en-US"/>
              </w:rPr>
              <w:t>Target WUS SNR</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en-US"/>
              </w:rPr>
            </w:pPr>
            <w:r>
              <w:rPr>
                <w:highlight w:val="none"/>
                <w:lang w:val="en-US"/>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rFonts w:hint="eastAsia"/>
                <w:lang w:val="en-US"/>
              </w:rPr>
              <w:t>N</w:t>
            </w:r>
            <w:r>
              <w:rPr>
                <w:lang w:val="en-US"/>
              </w:rPr>
              <w:t>R power level</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Same PSD with WUS signal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RF impairment</w:t>
            </w:r>
          </w:p>
        </w:tc>
        <w:tc>
          <w:tcPr>
            <w:tcW w:w="495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Max. Center frequency offset = 5, 10, 50, 200 ppm. Initial search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2"/>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val="0"/>
              <w:spacing w:after="0" w:line="240" w:lineRule="auto"/>
              <w:textAlignment w:val="auto"/>
            </w:pPr>
            <w:r>
              <w:rPr>
                <w:lang w:val="en-US"/>
              </w:rPr>
              <w:t>Note 1:</w:t>
            </w:r>
            <w:r>
              <w:t xml:space="preserve"> </w:t>
            </w:r>
            <w:r>
              <w:tab/>
            </w:r>
            <w:r>
              <w:rPr>
                <w:lang w:val="en-US"/>
              </w:rPr>
              <w:t>For easy evaluation, the number of allocated WUS RBs is fixed. The number of Guard RBs is changed.</w:t>
            </w:r>
          </w:p>
        </w:tc>
      </w:tr>
    </w:tbl>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bCs/>
          <w:i w:val="0"/>
          <w:iCs w:val="0"/>
          <w:kern w:val="0"/>
          <w:sz w:val="20"/>
          <w:szCs w:val="20"/>
          <w:highlight w:val="none"/>
          <w:lang w:val="en-US" w:eastAsia="zh-CN"/>
        </w:rPr>
        <w:t>We have achieved an agreement that f</w:t>
      </w:r>
      <w:r>
        <w:rPr>
          <w:rFonts w:ascii="Times New Roman" w:hAnsi="Times New Roman" w:eastAsia="等线" w:cs="Times New Roman"/>
          <w:kern w:val="0"/>
          <w:sz w:val="20"/>
          <w:szCs w:val="20"/>
          <w:lang w:val="en-GB"/>
        </w:rPr>
        <w:t>or ASCS guard RB, the required guard RB(s) should be blanked RB(s), which belong to WUS carrier/BW (i.e., WUS signal plus ASCS guard RB(s))</w:t>
      </w:r>
      <w:r>
        <w:rPr>
          <w:rFonts w:hint="eastAsia" w:ascii="Times New Roman" w:hAnsi="Times New Roman" w:eastAsia="等线" w:cs="Times New Roman"/>
          <w:kern w:val="0"/>
          <w:sz w:val="20"/>
          <w:szCs w:val="20"/>
          <w:lang w:val="en-US" w:eastAsia="zh-CN"/>
        </w:rPr>
        <w:t>[</w:t>
      </w:r>
      <w:r>
        <w:rPr>
          <w:rFonts w:hint="eastAsia" w:eastAsia="等线" w:cs="Times New Roman"/>
          <w:kern w:val="0"/>
          <w:sz w:val="20"/>
          <w:szCs w:val="20"/>
          <w:lang w:val="en-US" w:eastAsia="zh-CN"/>
        </w:rPr>
        <w:t>2</w:t>
      </w:r>
      <w:r>
        <w:rPr>
          <w:rFonts w:hint="eastAsia" w:ascii="Times New Roman" w:hAnsi="Times New Roman" w:eastAsia="等线" w:cs="Times New Roman"/>
          <w:kern w:val="0"/>
          <w:sz w:val="20"/>
          <w:szCs w:val="20"/>
          <w:lang w:val="en-US" w:eastAsia="zh-CN"/>
        </w:rPr>
        <w:t>]</w:t>
      </w:r>
      <w:r>
        <w:rPr>
          <w:rFonts w:ascii="Times New Roman" w:hAnsi="Times New Roman" w:eastAsia="等线" w:cs="Times New Roman"/>
          <w:kern w:val="0"/>
          <w:sz w:val="20"/>
          <w:szCs w:val="20"/>
          <w:lang w:val="en-GB"/>
        </w:rPr>
        <w:t>.</w:t>
      </w:r>
      <w:r>
        <w:rPr>
          <w:rFonts w:hint="eastAsia" w:eastAsia="等线" w:cs="Times New Roman"/>
          <w:kern w:val="0"/>
          <w:sz w:val="20"/>
          <w:szCs w:val="20"/>
          <w:lang w:val="en-US" w:eastAsia="zh-CN"/>
        </w:rPr>
        <w:t xml:space="preserve"> </w:t>
      </w:r>
      <w:r>
        <w:rPr>
          <w:rFonts w:hint="eastAsia" w:cs="Times New Roman"/>
          <w:i w:val="0"/>
          <w:iCs w:val="0"/>
          <w:sz w:val="20"/>
          <w:szCs w:val="20"/>
          <w:highlight w:val="none"/>
          <w:lang w:val="en-US" w:eastAsia="zh-CN"/>
        </w:rPr>
        <w:t xml:space="preserve">The purpose of guard RBs for ASCS is to </w:t>
      </w:r>
      <w:r>
        <w:rPr>
          <w:rFonts w:hint="eastAsia"/>
          <w:i w:val="0"/>
          <w:iCs w:val="0"/>
          <w:sz w:val="20"/>
          <w:szCs w:val="20"/>
          <w:highlight w:val="none"/>
          <w:lang w:val="en-US" w:eastAsia="zh-CN"/>
        </w:rPr>
        <w:t xml:space="preserve">protect the WUS RB from the adjacent sub-carrier NR signal. </w:t>
      </w:r>
      <w:r>
        <w:rPr>
          <w:rFonts w:hint="eastAsia" w:cs="Times New Roman"/>
          <w:i w:val="0"/>
          <w:iCs w:val="0"/>
          <w:sz w:val="20"/>
          <w:szCs w:val="20"/>
          <w:highlight w:val="none"/>
          <w:lang w:val="en-US" w:eastAsia="zh-CN"/>
        </w:rPr>
        <w:t>For ASCS evaluation, it is feasible to consider the worst case that WUS is at the center of NR channel for ASCS evaluation as shown in Figure 1, where 5MHz BW for interference is configured.</w:t>
      </w:r>
    </w:p>
    <w:p>
      <w:pPr>
        <w:keepNext w:val="0"/>
        <w:keepLines w:val="0"/>
        <w:pageBreakBefore w:val="0"/>
        <w:widowControl/>
        <w:kinsoku/>
        <w:wordWrap/>
        <w:overflowPunct/>
        <w:topLinePunct w:val="0"/>
        <w:autoSpaceDE/>
        <w:autoSpaceDN/>
        <w:bidi w:val="0"/>
        <w:adjustRightInd/>
        <w:snapToGrid/>
        <w:spacing w:before="120" w:after="0" w:line="240" w:lineRule="auto"/>
        <w:jc w:val="both"/>
        <w:textAlignment w:val="auto"/>
        <w:outlineLvl w:val="9"/>
      </w:pPr>
      <w:r>
        <w:drawing>
          <wp:inline distT="0" distB="0" distL="0" distR="0">
            <wp:extent cx="5760085" cy="1837690"/>
            <wp:effectExtent l="0" t="0" r="0" b="0"/>
            <wp:docPr id="6337087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708705" name="图片 2"/>
                    <pic:cNvPicPr>
                      <a:picLocks noChangeAspect="1"/>
                    </pic:cNvPicPr>
                  </pic:nvPicPr>
                  <pic:blipFill>
                    <a:blip r:embed="rId7"/>
                    <a:srcRect b="9366"/>
                    <a:stretch>
                      <a:fillRect/>
                    </a:stretch>
                  </pic:blipFill>
                  <pic:spPr>
                    <a:xfrm>
                      <a:off x="0" y="0"/>
                      <a:ext cx="5776843" cy="1843196"/>
                    </a:xfrm>
                    <a:prstGeom prst="rect">
                      <a:avLst/>
                    </a:prstGeom>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157" w:afterLines="50" w:line="240" w:lineRule="auto"/>
        <w:jc w:val="center"/>
        <w:textAlignment w:val="auto"/>
        <w:outlineLvl w:val="9"/>
        <w:rPr>
          <w:rFonts w:hint="default"/>
          <w:b/>
          <w:bCs/>
          <w:lang w:val="en-US" w:eastAsia="zh-CN"/>
        </w:rPr>
      </w:pPr>
      <w:r>
        <w:rPr>
          <w:rFonts w:hint="eastAsia" w:eastAsia="宋体"/>
          <w:b/>
          <w:bCs/>
          <w:lang w:val="en-US" w:eastAsia="zh-CN"/>
        </w:rPr>
        <w:t xml:space="preserve">Figure 1  </w:t>
      </w:r>
      <w:r>
        <w:rPr>
          <w:rFonts w:hint="eastAsia"/>
          <w:b/>
          <w:bCs/>
          <w:lang w:eastAsia="zh-CN"/>
        </w:rPr>
        <w:t>L</w:t>
      </w:r>
      <w:r>
        <w:rPr>
          <w:b/>
          <w:bCs/>
          <w:lang w:eastAsia="zh-CN"/>
        </w:rPr>
        <w:t>P-WUS at the centre of NR channel, only ASCS needs to be considered.</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lang w:val="en-US" w:eastAsia="zh-CN"/>
        </w:rPr>
      </w:pPr>
      <w:r>
        <w:rPr>
          <w:rFonts w:hint="eastAsia"/>
          <w:lang w:val="en-US" w:eastAsia="zh-CN"/>
        </w:rPr>
        <w:t>Here we provide some preliminary simulation results based on the assumption in Table 1. In Figure 2, we show the effect of 2</w:t>
      </w:r>
      <w:r>
        <w:rPr>
          <w:rFonts w:hint="eastAsia"/>
          <w:vertAlign w:val="superscript"/>
          <w:lang w:val="en-US" w:eastAsia="zh-CN"/>
        </w:rPr>
        <w:t>nd</w:t>
      </w:r>
      <w:r>
        <w:rPr>
          <w:rFonts w:hint="eastAsia"/>
          <w:lang w:val="en-US" w:eastAsia="zh-CN"/>
        </w:rPr>
        <w:t xml:space="preserve"> to 5</w:t>
      </w:r>
      <w:r>
        <w:rPr>
          <w:rFonts w:hint="eastAsia"/>
          <w:vertAlign w:val="superscript"/>
          <w:lang w:val="en-US" w:eastAsia="zh-CN"/>
        </w:rPr>
        <w:t>th</w:t>
      </w:r>
      <w:r>
        <w:rPr>
          <w:rFonts w:hint="eastAsia"/>
          <w:lang w:val="en-US" w:eastAsia="zh-CN"/>
        </w:rPr>
        <w:t xml:space="preserve"> Butterworth filters on LP-WUS and Interference with same PSD, where CBW=20MHz, SCS=15kHz. ASCS is defined as the ratio of the receive filter attenuation on the assigned channel frequency to the receive filter attenuation on the adjacent sub-carrier(s) [2]. In Table 2, we show the ASCS results under different guard RBs, frequency offset and filter order.</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166235" cy="3140075"/>
            <wp:effectExtent l="0" t="0" r="9525" b="14605"/>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8"/>
                    <a:stretch>
                      <a:fillRect/>
                    </a:stretch>
                  </pic:blipFill>
                  <pic:spPr>
                    <a:xfrm>
                      <a:off x="0" y="0"/>
                      <a:ext cx="4166235" cy="3140075"/>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157" w:afterLines="50" w:line="240" w:lineRule="auto"/>
        <w:jc w:val="center"/>
        <w:textAlignment w:val="auto"/>
        <w:outlineLvl w:val="9"/>
        <w:rPr>
          <w:rFonts w:hint="default"/>
          <w:b/>
          <w:bCs/>
          <w:lang w:val="en-US" w:eastAsia="zh-CN"/>
        </w:rPr>
      </w:pPr>
      <w:r>
        <w:rPr>
          <w:rFonts w:hint="eastAsia" w:eastAsia="宋体"/>
          <w:b/>
          <w:bCs/>
          <w:lang w:val="en-US" w:eastAsia="zh-CN"/>
        </w:rPr>
        <w:t>Figure 2  T</w:t>
      </w:r>
      <w:r>
        <w:rPr>
          <w:rFonts w:hint="eastAsia"/>
          <w:b/>
          <w:bCs/>
          <w:lang w:eastAsia="zh-CN"/>
        </w:rPr>
        <w:t>he effect of 2</w:t>
      </w:r>
      <w:r>
        <w:rPr>
          <w:rFonts w:hint="eastAsia"/>
          <w:b/>
          <w:bCs/>
          <w:vertAlign w:val="superscript"/>
          <w:lang w:eastAsia="zh-CN"/>
        </w:rPr>
        <w:t>nd</w:t>
      </w:r>
      <w:r>
        <w:rPr>
          <w:rFonts w:hint="eastAsia"/>
          <w:b/>
          <w:bCs/>
          <w:lang w:eastAsia="zh-CN"/>
        </w:rPr>
        <w:t xml:space="preserve"> to 5</w:t>
      </w:r>
      <w:r>
        <w:rPr>
          <w:rFonts w:hint="eastAsia"/>
          <w:b/>
          <w:bCs/>
          <w:vertAlign w:val="superscript"/>
          <w:lang w:eastAsia="zh-CN"/>
        </w:rPr>
        <w:t>th</w:t>
      </w:r>
      <w:r>
        <w:rPr>
          <w:rFonts w:hint="eastAsia"/>
          <w:b/>
          <w:bCs/>
          <w:lang w:eastAsia="zh-CN"/>
        </w:rPr>
        <w:t xml:space="preserve"> Butterworth filters on LP-WUS and Interference with same PSD</w:t>
      </w:r>
    </w:p>
    <w:p>
      <w:pPr>
        <w:keepNext w:val="0"/>
        <w:keepLines w:val="0"/>
        <w:pageBreakBefore w:val="0"/>
        <w:widowControl/>
        <w:kinsoku/>
        <w:wordWrap/>
        <w:overflowPunct/>
        <w:topLinePunct w:val="0"/>
        <w:autoSpaceDE/>
        <w:autoSpaceDN/>
        <w:bidi w:val="0"/>
        <w:adjustRightInd/>
        <w:snapToGrid/>
        <w:spacing w:before="120" w:after="0" w:line="240" w:lineRule="auto"/>
        <w:jc w:val="center"/>
        <w:textAlignment w:val="auto"/>
        <w:outlineLvl w:val="9"/>
        <w:rPr>
          <w:rFonts w:hint="eastAsia"/>
          <w:b/>
          <w:bCs/>
          <w:lang w:val="en-US" w:eastAsia="zh-CN"/>
        </w:rPr>
      </w:pPr>
      <w:r>
        <w:rPr>
          <w:rFonts w:hint="eastAsia"/>
          <w:b/>
          <w:bCs/>
          <w:lang w:val="en-US" w:eastAsia="zh-CN"/>
        </w:rPr>
        <w:t>Table 2  The ASCS results under different guard RBs, frequency offset and filter order</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4"/>
        <w:gridCol w:w="1378"/>
        <w:gridCol w:w="1127"/>
        <w:gridCol w:w="972"/>
        <w:gridCol w:w="983"/>
        <w:gridCol w:w="972"/>
        <w:gridCol w:w="972"/>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4" w:type="dxa"/>
            <w:vMerge w:val="restart"/>
            <w:vAlign w:val="center"/>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r>
              <w:rPr>
                <w:rFonts w:eastAsia="Calibri" w:cs="Arial"/>
                <w:color w:val="auto"/>
                <w:szCs w:val="22"/>
                <w:highlight w:val="none"/>
                <w:lang w:val="de-DE"/>
              </w:rPr>
              <w:t>Filter order</w:t>
            </w:r>
          </w:p>
        </w:tc>
        <w:tc>
          <w:tcPr>
            <w:tcW w:w="2280" w:type="dxa"/>
            <w:gridSpan w:val="2"/>
            <w:tcBorders>
              <w:bottom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4872" w:type="dxa"/>
            <w:gridSpan w:val="5"/>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r>
              <w:rPr>
                <w:rFonts w:hint="eastAsia" w:eastAsia="Calibri" w:cs="Arial"/>
                <w:color w:val="auto"/>
                <w:szCs w:val="22"/>
                <w:highlight w:val="none"/>
                <w:lang w:val="de-DE"/>
              </w:rPr>
              <w:t>A</w:t>
            </w:r>
            <w:r>
              <w:rPr>
                <w:rFonts w:eastAsia="Calibri" w:cs="Arial"/>
                <w:color w:val="auto"/>
                <w:szCs w:val="22"/>
                <w:highlight w:val="none"/>
                <w:lang w:val="de-DE"/>
              </w:rPr>
              <w:t>SCS, BW</w:t>
            </w:r>
            <w:r>
              <w:rPr>
                <w:rFonts w:eastAsia="Calibri" w:cs="Arial"/>
                <w:color w:val="auto"/>
                <w:szCs w:val="22"/>
                <w:highlight w:val="none"/>
                <w:vertAlign w:val="subscript"/>
                <w:lang w:val="de-DE"/>
              </w:rPr>
              <w:t>interference</w:t>
            </w:r>
            <w:r>
              <w:rPr>
                <w:rFonts w:eastAsia="Calibri" w:cs="Arial"/>
                <w:color w:val="auto"/>
                <w:szCs w:val="22"/>
                <w:highlight w:val="none"/>
                <w:lang w:val="de-DE"/>
              </w:rPr>
              <w:t xml:space="preserve"> = 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144" w:type="dxa"/>
            <w:vMerge w:val="continue"/>
            <w:tcBorders>
              <w:bottom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tcBorders>
              <w:bottom w:val="single" w:color="auto" w:sz="4" w:space="0"/>
              <w:tl2br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jc w:val="right"/>
              <w:textAlignment w:val="auto"/>
              <w:rPr>
                <w:rFonts w:eastAsia="Calibri" w:cs="Arial"/>
                <w:color w:val="auto"/>
                <w:sz w:val="16"/>
                <w:szCs w:val="16"/>
                <w:highlight w:val="none"/>
                <w:lang w:val="de-DE"/>
              </w:rPr>
            </w:pPr>
            <w:r>
              <w:rPr>
                <w:rFonts w:eastAsia="Calibri" w:cs="Arial"/>
                <w:color w:val="auto"/>
                <w:sz w:val="16"/>
                <w:szCs w:val="16"/>
                <w:highlight w:val="none"/>
                <w:lang w:val="de-DE"/>
              </w:rPr>
              <w:t>Guard RB</w:t>
            </w:r>
          </w:p>
          <w:p>
            <w:pPr>
              <w:pStyle w:val="34"/>
              <w:keepNext/>
              <w:keepLines/>
              <w:pageBreakBefore w:val="0"/>
              <w:widowControl/>
              <w:kinsoku/>
              <w:wordWrap/>
              <w:overflowPunct/>
              <w:topLinePunct w:val="0"/>
              <w:autoSpaceDE/>
              <w:autoSpaceDN/>
              <w:bidi w:val="0"/>
              <w:adjustRightInd/>
              <w:snapToGrid/>
              <w:spacing w:after="0" w:line="240" w:lineRule="auto"/>
              <w:jc w:val="left"/>
              <w:textAlignment w:val="auto"/>
              <w:rPr>
                <w:rFonts w:eastAsia="Calibri" w:cs="Arial"/>
                <w:color w:val="auto"/>
                <w:szCs w:val="18"/>
                <w:highlight w:val="none"/>
                <w:lang w:val="de-DE"/>
              </w:rPr>
            </w:pPr>
            <w:r>
              <w:rPr>
                <w:rFonts w:eastAsia="Calibri" w:cs="Arial"/>
                <w:color w:val="auto"/>
                <w:sz w:val="16"/>
                <w:szCs w:val="16"/>
                <w:highlight w:val="none"/>
                <w:lang w:val="de-DE"/>
              </w:rPr>
              <w:t>CBW</w:t>
            </w:r>
          </w:p>
        </w:tc>
        <w:tc>
          <w:tcPr>
            <w:tcW w:w="902" w:type="dxa"/>
            <w:tcBorders>
              <w:bottom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eastAsia="Calibri" w:cs="Arial"/>
                <w:color w:val="auto"/>
                <w:szCs w:val="18"/>
                <w:highlight w:val="none"/>
                <w:lang w:val="de-DE"/>
              </w:rPr>
              <w:t>F</w:t>
            </w:r>
            <w:r>
              <w:rPr>
                <w:rFonts w:hint="eastAsia" w:eastAsia="Calibri" w:cs="Arial"/>
                <w:color w:val="auto"/>
                <w:szCs w:val="18"/>
                <w:highlight w:val="none"/>
                <w:lang w:val="de-DE"/>
              </w:rPr>
              <w:t>requency</w:t>
            </w:r>
          </w:p>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eastAsia="Calibri" w:cs="Arial"/>
                <w:color w:val="auto"/>
                <w:szCs w:val="18"/>
                <w:highlight w:val="none"/>
                <w:lang w:val="de-DE"/>
              </w:rPr>
              <w:t>O</w:t>
            </w:r>
            <w:r>
              <w:rPr>
                <w:rFonts w:hint="eastAsia" w:eastAsia="Calibri" w:cs="Arial"/>
                <w:color w:val="auto"/>
                <w:szCs w:val="18"/>
                <w:highlight w:val="none"/>
                <w:lang w:val="de-DE"/>
              </w:rPr>
              <w:t>ffset</w:t>
            </w:r>
          </w:p>
        </w:tc>
        <w:tc>
          <w:tcPr>
            <w:tcW w:w="972"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0</w:t>
            </w:r>
            <w:r>
              <w:rPr>
                <w:rFonts w:eastAsia="Calibri" w:cs="Arial"/>
                <w:color w:val="auto"/>
                <w:szCs w:val="18"/>
                <w:highlight w:val="none"/>
                <w:lang w:val="de-DE"/>
              </w:rPr>
              <w:t>RB</w:t>
            </w:r>
          </w:p>
        </w:tc>
        <w:tc>
          <w:tcPr>
            <w:tcW w:w="983"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0</w:t>
            </w:r>
            <w:r>
              <w:rPr>
                <w:rFonts w:eastAsia="Calibri" w:cs="Arial"/>
                <w:color w:val="auto"/>
                <w:szCs w:val="18"/>
                <w:highlight w:val="none"/>
                <w:lang w:val="de-DE"/>
              </w:rPr>
              <w:t>.5RB</w:t>
            </w:r>
          </w:p>
        </w:tc>
        <w:tc>
          <w:tcPr>
            <w:tcW w:w="972"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RB</w:t>
            </w:r>
          </w:p>
        </w:tc>
        <w:tc>
          <w:tcPr>
            <w:tcW w:w="972"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2</w:t>
            </w:r>
            <w:r>
              <w:rPr>
                <w:rFonts w:eastAsia="Calibri" w:cs="Arial"/>
                <w:color w:val="auto"/>
                <w:szCs w:val="18"/>
                <w:highlight w:val="none"/>
                <w:lang w:val="de-DE"/>
              </w:rPr>
              <w:t>RB</w:t>
            </w:r>
          </w:p>
        </w:tc>
        <w:tc>
          <w:tcPr>
            <w:tcW w:w="973"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3</w:t>
            </w:r>
            <w:r>
              <w:rPr>
                <w:rFonts w:eastAsia="Calibri" w:cs="Arial"/>
                <w:color w:val="auto"/>
                <w:szCs w:val="18"/>
                <w:highlight w:val="none"/>
                <w:lang w:val="de-DE"/>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1144" w:type="dxa"/>
            <w:vMerge w:val="restart"/>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r>
              <w:rPr>
                <w:rFonts w:hint="eastAsia" w:eastAsia="Calibri" w:cs="Arial"/>
                <w:color w:val="auto"/>
                <w:szCs w:val="22"/>
                <w:highlight w:val="none"/>
                <w:lang w:val="de-DE"/>
              </w:rPr>
              <w:t>5</w:t>
            </w:r>
            <w:r>
              <w:rPr>
                <w:rFonts w:eastAsia="Calibri" w:cs="Arial"/>
                <w:color w:val="auto"/>
                <w:szCs w:val="22"/>
                <w:highlight w:val="none"/>
                <w:vertAlign w:val="superscript"/>
                <w:lang w:val="de-DE"/>
              </w:rPr>
              <w:t>th</w:t>
            </w:r>
            <w:r>
              <w:rPr>
                <w:rFonts w:eastAsia="Calibri" w:cs="Arial"/>
                <w:color w:val="auto"/>
                <w:szCs w:val="22"/>
                <w:highlight w:val="none"/>
                <w:lang w:val="de-DE"/>
              </w:rPr>
              <w:t xml:space="preserve"> </w:t>
            </w:r>
          </w:p>
        </w:tc>
        <w:tc>
          <w:tcPr>
            <w:tcW w:w="1378" w:type="dxa"/>
            <w:vMerge w:val="restart"/>
            <w:tcBorders>
              <w:tl2br w:val="nil"/>
            </w:tcBorders>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2</w:t>
            </w:r>
            <w:r>
              <w:rPr>
                <w:rFonts w:eastAsia="Calibri" w:cs="Arial"/>
                <w:color w:val="auto"/>
                <w:szCs w:val="18"/>
                <w:highlight w:val="none"/>
                <w:lang w:val="de-DE"/>
              </w:rPr>
              <w:t>0MHz, SCS = 15kHz</w:t>
            </w: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-17.64</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-19.30</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-20.63</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-23.29</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Borders>
              <w:tl2br w:val="nil"/>
            </w:tcBorders>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 xml:space="preserve">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-17.67</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-19.08</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-20.45</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-23.13</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Borders>
              <w:tl2br w:val="nil"/>
            </w:tcBorders>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-17.55</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-18.92</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-20.26</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-22.93</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Borders>
              <w:tl2br w:val="nil"/>
            </w:tcBorders>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0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-16.19</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-17.46</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-18.81</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-21.52</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Borders>
              <w:tl2br w:val="nil"/>
            </w:tcBorders>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2</w:t>
            </w:r>
            <w:r>
              <w:rPr>
                <w:rFonts w:eastAsia="Calibri" w:cs="Arial"/>
                <w:color w:val="auto"/>
                <w:szCs w:val="18"/>
                <w:highlight w:val="none"/>
                <w:lang w:val="de-DE"/>
              </w:rPr>
              <w:t>00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-14.04</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-15.21</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-16.44</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-18.95</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restart"/>
            <w:tcBorders>
              <w:tl2br w:val="nil"/>
            </w:tcBorders>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00MHz, SCS = 30kHz</w:t>
            </w: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-19.24</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-23.20</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-25.58</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-29.97</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-33.93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Borders>
              <w:tl2br w:val="nil"/>
            </w:tcBorders>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 xml:space="preserve">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-19.53</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-23.05</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-25.45</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-29.84</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-33.79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Borders>
              <w:tl2br w:val="nil"/>
            </w:tcBorders>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-19.81</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-22.89</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-25.31</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-29.70</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Borders>
              <w:tl2br w:val="nil"/>
            </w:tcBorders>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0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-19.09</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-21.58</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-24.00</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-28.51</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-32.61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Borders>
              <w:tl2br w:val="nil"/>
            </w:tcBorders>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2</w:t>
            </w:r>
            <w:r>
              <w:rPr>
                <w:rFonts w:eastAsia="Calibri" w:cs="Arial"/>
                <w:color w:val="auto"/>
                <w:szCs w:val="18"/>
                <w:highlight w:val="none"/>
                <w:lang w:val="de-DE"/>
              </w:rPr>
              <w:t>00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-14.03</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-16.34</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-18.78</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-23.59</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1144" w:type="dxa"/>
            <w:vMerge w:val="restart"/>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r>
              <w:rPr>
                <w:rFonts w:eastAsia="Calibri" w:cs="Arial"/>
                <w:color w:val="auto"/>
                <w:szCs w:val="22"/>
                <w:highlight w:val="none"/>
                <w:lang w:val="de-DE"/>
              </w:rPr>
              <w:t>4</w:t>
            </w:r>
            <w:r>
              <w:rPr>
                <w:rFonts w:eastAsia="Calibri" w:cs="Arial"/>
                <w:color w:val="auto"/>
                <w:szCs w:val="22"/>
                <w:highlight w:val="none"/>
                <w:vertAlign w:val="superscript"/>
                <w:lang w:val="de-DE"/>
              </w:rPr>
              <w:t>th</w:t>
            </w:r>
          </w:p>
        </w:tc>
        <w:tc>
          <w:tcPr>
            <w:tcW w:w="1378" w:type="dxa"/>
            <w:vMerge w:val="restart"/>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2</w:t>
            </w:r>
            <w:r>
              <w:rPr>
                <w:rFonts w:eastAsia="Calibri" w:cs="Arial"/>
                <w:color w:val="auto"/>
                <w:szCs w:val="18"/>
                <w:highlight w:val="none"/>
                <w:lang w:val="de-DE"/>
              </w:rPr>
              <w:t>0MHz, SCS = 15kHz</w:t>
            </w: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-15.75</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-16.95</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-17.97</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-20.02</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 xml:space="preserve">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-15.74</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-16.80</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-17.85</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-19.87</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-15.64</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-16.65</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-17.71</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-19.74</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0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-14.59</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-15.58</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-16.57</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-18.63</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2</w:t>
            </w:r>
            <w:r>
              <w:rPr>
                <w:rFonts w:eastAsia="Calibri" w:cs="Arial"/>
                <w:color w:val="auto"/>
                <w:szCs w:val="18"/>
                <w:highlight w:val="none"/>
                <w:lang w:val="de-DE"/>
              </w:rPr>
              <w:t>00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-12.88</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-13.77</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-14.68</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-16.59</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restart"/>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00MHz, SCS = 30kHz</w:t>
            </w: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-17.03</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-19.75</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-21.56</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-24.90</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 xml:space="preserve">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-17.18</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-19.64</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-21.43</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-24.79</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-17.28</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-19.48</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-21.31</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-24.68</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-27.77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0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-16.64</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-18.48</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-20.30</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-23.77</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2</w:t>
            </w:r>
            <w:r>
              <w:rPr>
                <w:rFonts w:eastAsia="Calibri" w:cs="Arial"/>
                <w:color w:val="auto"/>
                <w:szCs w:val="18"/>
                <w:highlight w:val="none"/>
                <w:lang w:val="de-DE"/>
              </w:rPr>
              <w:t>00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-12.74</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-14.52</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-16.30</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-19.93</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1144" w:type="dxa"/>
            <w:vMerge w:val="restart"/>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r>
              <w:rPr>
                <w:rFonts w:eastAsia="Calibri" w:cs="Arial"/>
                <w:color w:val="auto"/>
                <w:szCs w:val="22"/>
                <w:highlight w:val="none"/>
                <w:lang w:val="de-DE"/>
              </w:rPr>
              <w:t>3</w:t>
            </w:r>
            <w:r>
              <w:rPr>
                <w:rFonts w:eastAsia="Calibri" w:cs="Arial"/>
                <w:color w:val="auto"/>
                <w:szCs w:val="22"/>
                <w:highlight w:val="none"/>
                <w:vertAlign w:val="superscript"/>
                <w:lang w:val="de-DE"/>
              </w:rPr>
              <w:t>rd</w:t>
            </w:r>
            <w:r>
              <w:rPr>
                <w:rFonts w:eastAsia="Calibri" w:cs="Arial"/>
                <w:color w:val="auto"/>
                <w:szCs w:val="22"/>
                <w:highlight w:val="none"/>
                <w:lang w:val="de-DE"/>
              </w:rPr>
              <w:t xml:space="preserve"> </w:t>
            </w:r>
          </w:p>
        </w:tc>
        <w:tc>
          <w:tcPr>
            <w:tcW w:w="1378" w:type="dxa"/>
            <w:vMerge w:val="restart"/>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2</w:t>
            </w:r>
            <w:r>
              <w:rPr>
                <w:rFonts w:eastAsia="Calibri" w:cs="Arial"/>
                <w:color w:val="auto"/>
                <w:szCs w:val="18"/>
                <w:highlight w:val="none"/>
                <w:lang w:val="de-DE"/>
              </w:rPr>
              <w:t>0MHz, SCS = 15kHz</w:t>
            </w: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-13.44</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-14.25</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-14.98</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-16.39</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 xml:space="preserve">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-13.42</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-14.17</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-14.87</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-16.29</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-13.35</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-14.06</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-14.79</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-16.20</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0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-12.62</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-13.28</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-13.98</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-15.41</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2</w:t>
            </w:r>
            <w:r>
              <w:rPr>
                <w:rFonts w:eastAsia="Calibri" w:cs="Arial"/>
                <w:color w:val="auto"/>
                <w:szCs w:val="18"/>
                <w:highlight w:val="none"/>
                <w:lang w:val="de-DE"/>
              </w:rPr>
              <w:t>00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-11.32</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-11.96</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-12.59</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-13.86</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restart"/>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00MHz, SCS = 30kHz</w:t>
            </w: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-14.21</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-15.92</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-17.15</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-19.52</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 xml:space="preserve">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-14.26</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-15.83</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-17.08</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-19.44</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-14.29</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-15.74</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-16.99</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-19.35</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0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-13.76</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-15.03</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-16.29</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-18.72</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2</w:t>
            </w:r>
            <w:r>
              <w:rPr>
                <w:rFonts w:eastAsia="Calibri" w:cs="Arial"/>
                <w:color w:val="auto"/>
                <w:szCs w:val="18"/>
                <w:highlight w:val="none"/>
                <w:lang w:val="de-DE"/>
              </w:rPr>
              <w:t>00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-11.09</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-12.28</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-13.50</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-16.00</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1144" w:type="dxa"/>
            <w:vMerge w:val="restart"/>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r>
              <w:rPr>
                <w:rFonts w:eastAsia="Calibri" w:cs="Arial"/>
                <w:color w:val="auto"/>
                <w:szCs w:val="22"/>
                <w:highlight w:val="none"/>
                <w:lang w:val="de-DE"/>
              </w:rPr>
              <w:t>2</w:t>
            </w:r>
            <w:r>
              <w:rPr>
                <w:rFonts w:eastAsia="Calibri" w:cs="Arial"/>
                <w:color w:val="auto"/>
                <w:szCs w:val="22"/>
                <w:highlight w:val="none"/>
                <w:vertAlign w:val="superscript"/>
                <w:lang w:val="de-DE"/>
              </w:rPr>
              <w:t>nd</w:t>
            </w:r>
          </w:p>
        </w:tc>
        <w:tc>
          <w:tcPr>
            <w:tcW w:w="1378" w:type="dxa"/>
            <w:vMerge w:val="restart"/>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2</w:t>
            </w:r>
            <w:r>
              <w:rPr>
                <w:rFonts w:eastAsia="Calibri" w:cs="Arial"/>
                <w:color w:val="auto"/>
                <w:szCs w:val="18"/>
                <w:highlight w:val="none"/>
                <w:lang w:val="de-DE"/>
              </w:rPr>
              <w:t>0MHz, SCS = 15kHz</w:t>
            </w: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-10.46</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-10.92</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-11.35</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-12.18</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 xml:space="preserve">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-10.42</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-10.87</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-11.30</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-12.13</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-10.38</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-10.81</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-11.23</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-12.07</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0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-9.95</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-10.34</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-10.76</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-11.60</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2</w:t>
            </w:r>
            <w:r>
              <w:rPr>
                <w:rFonts w:eastAsia="Calibri" w:cs="Arial"/>
                <w:color w:val="auto"/>
                <w:szCs w:val="18"/>
                <w:highlight w:val="none"/>
                <w:lang w:val="de-DE"/>
              </w:rPr>
              <w:t>00 ppm</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-9.09</w:t>
            </w:r>
          </w:p>
        </w:tc>
        <w:tc>
          <w:tcPr>
            <w:tcW w:w="98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-9.47</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-9.81</w:t>
            </w:r>
          </w:p>
        </w:tc>
        <w:tc>
          <w:tcPr>
            <w:tcW w:w="972"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-10.57</w:t>
            </w:r>
          </w:p>
        </w:tc>
        <w:tc>
          <w:tcPr>
            <w:tcW w:w="973" w:type="dxa"/>
            <w:shd w:val="clear" w:color="auto" w:fill="F1F1F1" w:themeFill="background1" w:themeFillShade="F2"/>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restart"/>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00MHz, SCS = 30kHz</w:t>
            </w: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-10.61</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-11.53</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-12.26</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-13.66</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 xml:space="preserve">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-10.63</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-11.47</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-12.20</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-13.61</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-10.61</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-11.42</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-12.16</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-13.55</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5</w:t>
            </w:r>
            <w:r>
              <w:rPr>
                <w:rFonts w:eastAsia="Calibri" w:cs="Arial"/>
                <w:color w:val="auto"/>
                <w:szCs w:val="18"/>
                <w:highlight w:val="none"/>
                <w:lang w:val="de-DE"/>
              </w:rPr>
              <w:t>0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-10.28</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-10.99</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-11.74</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-13.15</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144"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22"/>
                <w:highlight w:val="none"/>
                <w:lang w:val="de-DE"/>
              </w:rPr>
            </w:pPr>
          </w:p>
        </w:tc>
        <w:tc>
          <w:tcPr>
            <w:tcW w:w="1378" w:type="dxa"/>
            <w:vMerge w:val="continue"/>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p>
        </w:tc>
        <w:tc>
          <w:tcPr>
            <w:tcW w:w="90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color w:val="auto"/>
                <w:szCs w:val="18"/>
                <w:highlight w:val="none"/>
                <w:lang w:val="de-DE"/>
              </w:rPr>
            </w:pPr>
            <w:r>
              <w:rPr>
                <w:rFonts w:hint="eastAsia" w:eastAsia="Calibri" w:cs="Arial"/>
                <w:color w:val="auto"/>
                <w:szCs w:val="18"/>
                <w:highlight w:val="none"/>
                <w:lang w:val="de-DE"/>
              </w:rPr>
              <w:t>2</w:t>
            </w:r>
            <w:r>
              <w:rPr>
                <w:rFonts w:eastAsia="Calibri" w:cs="Arial"/>
                <w:color w:val="auto"/>
                <w:szCs w:val="18"/>
                <w:highlight w:val="none"/>
                <w:lang w:val="de-DE"/>
              </w:rPr>
              <w:t>00 ppm</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-8.76</w:t>
            </w:r>
          </w:p>
        </w:tc>
        <w:tc>
          <w:tcPr>
            <w:tcW w:w="98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-9.42</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-10.10</w:t>
            </w:r>
          </w:p>
        </w:tc>
        <w:tc>
          <w:tcPr>
            <w:tcW w:w="972"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-11.54</w:t>
            </w:r>
          </w:p>
        </w:tc>
        <w:tc>
          <w:tcPr>
            <w:tcW w:w="973" w:type="dxa"/>
          </w:tcPr>
          <w:p>
            <w:pPr>
              <w:pStyle w:val="36"/>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-12.95</w:t>
            </w:r>
          </w:p>
        </w:tc>
      </w:tr>
    </w:tbl>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It can be found</w:t>
      </w:r>
      <w:bookmarkStart w:id="1" w:name="_GoBack"/>
      <w:bookmarkEnd w:id="1"/>
      <w:r>
        <w:rPr>
          <w:rFonts w:hint="eastAsia" w:cs="Times New Roman"/>
          <w:i w:val="0"/>
          <w:iCs w:val="0"/>
          <w:sz w:val="20"/>
          <w:szCs w:val="20"/>
          <w:highlight w:val="none"/>
          <w:lang w:val="en-US" w:eastAsia="zh-CN"/>
        </w:rPr>
        <w:t xml:space="preserve"> that as the guard RB number increases, ASCS performance becomes better because of the attenuation function of the filter. In SI phase, we agreed a range of guard RBs for ASCS and in WI phase, we</w:t>
      </w:r>
      <w:r>
        <w:rPr>
          <w:rFonts w:hint="default" w:cs="Times New Roman"/>
          <w:i w:val="0"/>
          <w:iCs w:val="0"/>
          <w:sz w:val="20"/>
          <w:szCs w:val="20"/>
          <w:highlight w:val="none"/>
          <w:lang w:val="en-US" w:eastAsia="zh-CN"/>
        </w:rPr>
        <w:t>’</w:t>
      </w:r>
      <w:r>
        <w:rPr>
          <w:rFonts w:hint="eastAsia" w:cs="Times New Roman"/>
          <w:i w:val="0"/>
          <w:iCs w:val="0"/>
          <w:sz w:val="20"/>
          <w:szCs w:val="20"/>
          <w:highlight w:val="none"/>
          <w:lang w:val="en-US" w:eastAsia="zh-CN"/>
        </w:rPr>
        <w:t>d better give an accurate requirement on guard RBs.</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i w:val="0"/>
          <w:iCs w:val="0"/>
          <w:sz w:val="20"/>
          <w:szCs w:val="20"/>
          <w:highlight w:val="none"/>
          <w:lang w:val="en-US" w:eastAsia="zh-CN"/>
        </w:rPr>
        <w:t xml:space="preserve">However, before determining the guard RBs, it is needed to achieve an agreement on performance requirement for both </w:t>
      </w:r>
      <w:r>
        <w:rPr>
          <w:rFonts w:hint="eastAsia" w:cs="Times New Roman"/>
          <w:i w:val="0"/>
          <w:iCs w:val="0"/>
          <w:sz w:val="20"/>
          <w:szCs w:val="20"/>
          <w:highlight w:val="none"/>
          <w:lang w:val="en-US" w:eastAsia="zh-CN"/>
        </w:rPr>
        <w:t>filter suppression level analysis and link level simulation first</w:t>
      </w:r>
      <w:r>
        <w:rPr>
          <w:rFonts w:hint="eastAsia"/>
          <w:lang w:val="en-US" w:eastAsia="zh-CN"/>
        </w:rPr>
        <w:t xml:space="preserve">. For example, the requirement of ASCS for </w:t>
      </w:r>
      <w:r>
        <w:rPr>
          <w:rFonts w:hint="eastAsia" w:cs="Times New Roman"/>
          <w:i w:val="0"/>
          <w:iCs w:val="0"/>
          <w:sz w:val="20"/>
          <w:szCs w:val="20"/>
          <w:highlight w:val="none"/>
          <w:lang w:val="en-US" w:eastAsia="zh-CN"/>
        </w:rPr>
        <w:t xml:space="preserve">filter suppression level analysis, </w:t>
      </w:r>
      <w:r>
        <w:rPr>
          <w:rFonts w:hint="eastAsia"/>
          <w:lang w:val="en-US" w:eastAsia="zh-CN"/>
        </w:rPr>
        <w:t xml:space="preserve">or BLER requirement for </w:t>
      </w:r>
      <w:r>
        <w:rPr>
          <w:rFonts w:hint="eastAsia" w:cs="Times New Roman"/>
          <w:i w:val="0"/>
          <w:iCs w:val="0"/>
          <w:sz w:val="20"/>
          <w:szCs w:val="20"/>
          <w:highlight w:val="none"/>
          <w:lang w:val="en-US" w:eastAsia="zh-CN"/>
        </w:rPr>
        <w:t>link level simulation.</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It is needed to achieve an agreement</w:t>
      </w:r>
      <w:r>
        <w:rPr>
          <w:rFonts w:hint="eastAsia"/>
          <w:b/>
          <w:bCs/>
          <w:i w:val="0"/>
          <w:iCs w:val="0"/>
          <w:sz w:val="20"/>
          <w:szCs w:val="20"/>
          <w:highlight w:val="none"/>
          <w:lang w:val="en-US" w:eastAsia="zh-CN"/>
        </w:rPr>
        <w:t xml:space="preserve"> on performance requirements for both </w:t>
      </w:r>
      <w:r>
        <w:rPr>
          <w:rFonts w:hint="eastAsia" w:cs="Times New Roman"/>
          <w:b/>
          <w:bCs/>
          <w:i w:val="0"/>
          <w:iCs w:val="0"/>
          <w:sz w:val="20"/>
          <w:szCs w:val="20"/>
          <w:highlight w:val="none"/>
          <w:lang w:val="en-US" w:eastAsia="zh-CN"/>
        </w:rPr>
        <w:t>filter suppression level analysis and link level simulation before determining guard RBs for ASCS</w:t>
      </w:r>
      <w:r>
        <w:rPr>
          <w:rFonts w:hint="eastAsia"/>
          <w:b/>
          <w:bCs/>
          <w:lang w:val="en-US" w:eastAsia="zh-CN"/>
        </w:rPr>
        <w:t>.</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val="en-US" w:eastAsia="zh-CN"/>
        </w:rPr>
      </w:pPr>
      <w:r>
        <w:rPr>
          <w:rFonts w:eastAsia="宋体"/>
          <w:lang w:val="en-US" w:eastAsia="zh-CN"/>
        </w:rPr>
        <w:t>Conclusion</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b/>
          <w:bCs/>
          <w:lang w:val="en-US" w:eastAsia="zh-CN"/>
        </w:rPr>
      </w:pPr>
      <w:r>
        <w:rPr>
          <w:rFonts w:hint="eastAsia" w:cs="Times New Roman"/>
          <w:b/>
          <w:bCs/>
          <w:i w:val="0"/>
          <w:iCs w:val="0"/>
          <w:color w:val="auto"/>
          <w:sz w:val="20"/>
          <w:szCs w:val="20"/>
          <w:highlight w:val="none"/>
          <w:lang w:val="en-US" w:eastAsia="zh-CN"/>
        </w:rPr>
        <w:t>Propose 1:</w:t>
      </w:r>
      <w:r>
        <w:rPr>
          <w:rFonts w:hint="eastAsia"/>
          <w:b/>
          <w:bCs/>
          <w:lang w:val="en-US" w:eastAsia="zh-CN"/>
        </w:rPr>
        <w:t xml:space="preserve"> </w:t>
      </w:r>
      <w:r>
        <w:rPr>
          <w:rFonts w:hint="eastAsia" w:cs="Times New Roman"/>
          <w:b/>
          <w:bCs/>
          <w:i w:val="0"/>
          <w:iCs w:val="0"/>
          <w:sz w:val="20"/>
          <w:szCs w:val="20"/>
          <w:highlight w:val="none"/>
          <w:lang w:val="en-US" w:eastAsia="zh-CN"/>
        </w:rPr>
        <w:t>It is needed to achieve an agreement</w:t>
      </w:r>
      <w:r>
        <w:rPr>
          <w:rFonts w:hint="eastAsia"/>
          <w:b/>
          <w:bCs/>
          <w:i w:val="0"/>
          <w:iCs w:val="0"/>
          <w:sz w:val="20"/>
          <w:szCs w:val="20"/>
          <w:highlight w:val="none"/>
          <w:lang w:val="en-US" w:eastAsia="zh-CN"/>
        </w:rPr>
        <w:t xml:space="preserve"> on performance requirements for both </w:t>
      </w:r>
      <w:r>
        <w:rPr>
          <w:rFonts w:hint="eastAsia" w:cs="Times New Roman"/>
          <w:b/>
          <w:bCs/>
          <w:i w:val="0"/>
          <w:iCs w:val="0"/>
          <w:sz w:val="20"/>
          <w:szCs w:val="20"/>
          <w:highlight w:val="none"/>
          <w:lang w:val="en-US" w:eastAsia="zh-CN"/>
        </w:rPr>
        <w:t>filter suppression level analysis and link level simulation before determining guard RBs</w:t>
      </w:r>
      <w:r>
        <w:rPr>
          <w:rFonts w:hint="eastAsia"/>
          <w:b/>
          <w:bCs/>
          <w:lang w:val="en-US" w:eastAsia="zh-CN"/>
        </w:rPr>
        <w:t>.</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spacing w:before="0" w:after="0" w:line="240" w:lineRule="auto"/>
        <w:ind w:left="0" w:leftChars="0" w:firstLine="0" w:firstLineChars="0"/>
        <w:textAlignment w:val="auto"/>
        <w:rPr>
          <w:rFonts w:hint="eastAsia"/>
          <w:lang w:val="en-US" w:eastAsia="zh-CN"/>
        </w:rPr>
      </w:pPr>
      <w:r>
        <w:rPr>
          <w:rFonts w:hint="eastAsia"/>
          <w:lang w:val="en-US" w:eastAsia="zh-CN"/>
        </w:rPr>
        <w:t>RP-240801, Revised WID: Low-power wake-up signal and receiver for NR (LP-WUS/WUR), vivo, NTT DOCOMO, Ericsson, MediaTek, Samsung, Sony</w:t>
      </w:r>
    </w:p>
    <w:p>
      <w:pPr>
        <w:pStyle w:val="9"/>
        <w:keepNext w:val="0"/>
        <w:keepLines w:val="0"/>
        <w:pageBreakBefore w:val="0"/>
        <w:widowControl/>
        <w:numPr>
          <w:ilvl w:val="0"/>
          <w:numId w:val="5"/>
        </w:numPr>
        <w:kinsoku/>
        <w:wordWrap/>
        <w:overflowPunct/>
        <w:topLinePunct w:val="0"/>
        <w:autoSpaceDE/>
        <w:autoSpaceDN/>
        <w:bidi w:val="0"/>
        <w:adjustRightInd/>
        <w:snapToGrid/>
        <w:spacing w:before="0" w:after="0" w:line="240" w:lineRule="auto"/>
        <w:ind w:left="0" w:leftChars="0" w:firstLine="0" w:firstLineChars="0"/>
        <w:textAlignment w:val="auto"/>
        <w:rPr>
          <w:rFonts w:hint="eastAsia"/>
          <w:lang w:val="en-US" w:eastAsia="zh-CN"/>
        </w:rPr>
      </w:pPr>
      <w:r>
        <w:rPr>
          <w:rFonts w:hint="eastAsia"/>
          <w:lang w:val="en-US" w:eastAsia="zh-CN"/>
        </w:rPr>
        <w:t>TR38.869(v18.0.0), Study on low-power wake-up signal and receiver for NR.</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795E27"/>
    <w:rsid w:val="0180738E"/>
    <w:rsid w:val="018A2647"/>
    <w:rsid w:val="018B3BAA"/>
    <w:rsid w:val="01945324"/>
    <w:rsid w:val="01957959"/>
    <w:rsid w:val="01BA0053"/>
    <w:rsid w:val="01CA556D"/>
    <w:rsid w:val="01DC1C82"/>
    <w:rsid w:val="01DC200E"/>
    <w:rsid w:val="01F86CD9"/>
    <w:rsid w:val="02065A2E"/>
    <w:rsid w:val="020928F5"/>
    <w:rsid w:val="0217354E"/>
    <w:rsid w:val="021A2217"/>
    <w:rsid w:val="021A5187"/>
    <w:rsid w:val="02281CFD"/>
    <w:rsid w:val="0228598B"/>
    <w:rsid w:val="02343561"/>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F72239"/>
    <w:rsid w:val="02F759DA"/>
    <w:rsid w:val="02FE0556"/>
    <w:rsid w:val="02FE5F82"/>
    <w:rsid w:val="030F2294"/>
    <w:rsid w:val="03256F39"/>
    <w:rsid w:val="032D5AEE"/>
    <w:rsid w:val="03311F41"/>
    <w:rsid w:val="03334B44"/>
    <w:rsid w:val="033F2E50"/>
    <w:rsid w:val="035C5E5E"/>
    <w:rsid w:val="036F028C"/>
    <w:rsid w:val="0383140E"/>
    <w:rsid w:val="03A05508"/>
    <w:rsid w:val="03AB67DC"/>
    <w:rsid w:val="03AD2FC5"/>
    <w:rsid w:val="03B82CC7"/>
    <w:rsid w:val="03C77456"/>
    <w:rsid w:val="03CB41C8"/>
    <w:rsid w:val="04156C27"/>
    <w:rsid w:val="042B1DF5"/>
    <w:rsid w:val="043D2559"/>
    <w:rsid w:val="045D198A"/>
    <w:rsid w:val="046824A8"/>
    <w:rsid w:val="0478015E"/>
    <w:rsid w:val="04B43FA7"/>
    <w:rsid w:val="04BF26EE"/>
    <w:rsid w:val="04D16755"/>
    <w:rsid w:val="04D20004"/>
    <w:rsid w:val="04E54CF2"/>
    <w:rsid w:val="04EB6A3A"/>
    <w:rsid w:val="04F46C46"/>
    <w:rsid w:val="04FC2C75"/>
    <w:rsid w:val="050F2775"/>
    <w:rsid w:val="05143195"/>
    <w:rsid w:val="0526729B"/>
    <w:rsid w:val="05402104"/>
    <w:rsid w:val="054248F2"/>
    <w:rsid w:val="05492E9A"/>
    <w:rsid w:val="05510DD1"/>
    <w:rsid w:val="05533CBE"/>
    <w:rsid w:val="05785C74"/>
    <w:rsid w:val="05847419"/>
    <w:rsid w:val="058704DA"/>
    <w:rsid w:val="059160D0"/>
    <w:rsid w:val="05AE018C"/>
    <w:rsid w:val="05B32ECD"/>
    <w:rsid w:val="05FF0D9C"/>
    <w:rsid w:val="062937AB"/>
    <w:rsid w:val="062941CA"/>
    <w:rsid w:val="062A620F"/>
    <w:rsid w:val="063661E5"/>
    <w:rsid w:val="06410604"/>
    <w:rsid w:val="064B00B0"/>
    <w:rsid w:val="065C3A1D"/>
    <w:rsid w:val="06654A0B"/>
    <w:rsid w:val="06686223"/>
    <w:rsid w:val="06823D8F"/>
    <w:rsid w:val="06883FFB"/>
    <w:rsid w:val="068F48CC"/>
    <w:rsid w:val="06A023FD"/>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A5F1C"/>
    <w:rsid w:val="07622262"/>
    <w:rsid w:val="078F46FE"/>
    <w:rsid w:val="0793078D"/>
    <w:rsid w:val="07970803"/>
    <w:rsid w:val="07A9337A"/>
    <w:rsid w:val="07AB0366"/>
    <w:rsid w:val="07BA2D18"/>
    <w:rsid w:val="07BF78DC"/>
    <w:rsid w:val="07CD3CDD"/>
    <w:rsid w:val="07E96697"/>
    <w:rsid w:val="0818374A"/>
    <w:rsid w:val="08315282"/>
    <w:rsid w:val="085145EC"/>
    <w:rsid w:val="085C2CEC"/>
    <w:rsid w:val="085D2367"/>
    <w:rsid w:val="085E5DBE"/>
    <w:rsid w:val="08721912"/>
    <w:rsid w:val="087B0F4C"/>
    <w:rsid w:val="087C4EF8"/>
    <w:rsid w:val="088467B6"/>
    <w:rsid w:val="08AD5856"/>
    <w:rsid w:val="08C13553"/>
    <w:rsid w:val="08C3786B"/>
    <w:rsid w:val="08C71DC3"/>
    <w:rsid w:val="08CA745A"/>
    <w:rsid w:val="08D538D0"/>
    <w:rsid w:val="08E37BAD"/>
    <w:rsid w:val="08EE2ED2"/>
    <w:rsid w:val="08F869E1"/>
    <w:rsid w:val="08FB28C9"/>
    <w:rsid w:val="090F5236"/>
    <w:rsid w:val="0924260A"/>
    <w:rsid w:val="092553BF"/>
    <w:rsid w:val="09294F7D"/>
    <w:rsid w:val="092C61F8"/>
    <w:rsid w:val="095C0F0C"/>
    <w:rsid w:val="09646BE3"/>
    <w:rsid w:val="09674661"/>
    <w:rsid w:val="096B2177"/>
    <w:rsid w:val="097E672F"/>
    <w:rsid w:val="09825F02"/>
    <w:rsid w:val="09A2613C"/>
    <w:rsid w:val="09AB6C45"/>
    <w:rsid w:val="09E20449"/>
    <w:rsid w:val="09E5085D"/>
    <w:rsid w:val="09FC388C"/>
    <w:rsid w:val="0A0F5E0F"/>
    <w:rsid w:val="0A153B05"/>
    <w:rsid w:val="0A2802DC"/>
    <w:rsid w:val="0A4B6F30"/>
    <w:rsid w:val="0A665D1E"/>
    <w:rsid w:val="0A731B50"/>
    <w:rsid w:val="0A8D4756"/>
    <w:rsid w:val="0A8E34E6"/>
    <w:rsid w:val="0AB60DEE"/>
    <w:rsid w:val="0AC9278E"/>
    <w:rsid w:val="0B1A3243"/>
    <w:rsid w:val="0B2E106F"/>
    <w:rsid w:val="0B2F5F6B"/>
    <w:rsid w:val="0B3E5ECD"/>
    <w:rsid w:val="0B5950D6"/>
    <w:rsid w:val="0B61638C"/>
    <w:rsid w:val="0B724963"/>
    <w:rsid w:val="0B725220"/>
    <w:rsid w:val="0B7D64C0"/>
    <w:rsid w:val="0B802D0D"/>
    <w:rsid w:val="0B8D5FD9"/>
    <w:rsid w:val="0B9641FD"/>
    <w:rsid w:val="0B9A6376"/>
    <w:rsid w:val="0B9C3E91"/>
    <w:rsid w:val="0BC176FB"/>
    <w:rsid w:val="0BF37D09"/>
    <w:rsid w:val="0BF41031"/>
    <w:rsid w:val="0C0C5682"/>
    <w:rsid w:val="0C1D57F9"/>
    <w:rsid w:val="0C684AC1"/>
    <w:rsid w:val="0C7962B1"/>
    <w:rsid w:val="0C7A666C"/>
    <w:rsid w:val="0C7D5162"/>
    <w:rsid w:val="0C867BFF"/>
    <w:rsid w:val="0C953742"/>
    <w:rsid w:val="0CA242EA"/>
    <w:rsid w:val="0CB10B0C"/>
    <w:rsid w:val="0CB30E04"/>
    <w:rsid w:val="0CC66B41"/>
    <w:rsid w:val="0CE077FD"/>
    <w:rsid w:val="0D141518"/>
    <w:rsid w:val="0D1561A4"/>
    <w:rsid w:val="0D225A10"/>
    <w:rsid w:val="0D2706A2"/>
    <w:rsid w:val="0D3B5CCB"/>
    <w:rsid w:val="0D495A0D"/>
    <w:rsid w:val="0D4D2BE5"/>
    <w:rsid w:val="0D613BA3"/>
    <w:rsid w:val="0D744565"/>
    <w:rsid w:val="0D78361E"/>
    <w:rsid w:val="0D7F564D"/>
    <w:rsid w:val="0D835665"/>
    <w:rsid w:val="0D955077"/>
    <w:rsid w:val="0D957F13"/>
    <w:rsid w:val="0DB243FB"/>
    <w:rsid w:val="0DC3083F"/>
    <w:rsid w:val="0DDB3390"/>
    <w:rsid w:val="0DE052FE"/>
    <w:rsid w:val="0DFF2B1F"/>
    <w:rsid w:val="0E08297D"/>
    <w:rsid w:val="0E214766"/>
    <w:rsid w:val="0E2340BB"/>
    <w:rsid w:val="0E3330D0"/>
    <w:rsid w:val="0E3916C1"/>
    <w:rsid w:val="0E440278"/>
    <w:rsid w:val="0E4E5304"/>
    <w:rsid w:val="0E537C3C"/>
    <w:rsid w:val="0E5576D4"/>
    <w:rsid w:val="0E7519BC"/>
    <w:rsid w:val="0E992415"/>
    <w:rsid w:val="0E9E4D5A"/>
    <w:rsid w:val="0EAA7EC3"/>
    <w:rsid w:val="0EC81E9E"/>
    <w:rsid w:val="0EC82AA3"/>
    <w:rsid w:val="0ECE66B5"/>
    <w:rsid w:val="0EDC2C57"/>
    <w:rsid w:val="0EE5481D"/>
    <w:rsid w:val="0EF72277"/>
    <w:rsid w:val="0EFC7665"/>
    <w:rsid w:val="0F11785B"/>
    <w:rsid w:val="0F193A29"/>
    <w:rsid w:val="0F21557B"/>
    <w:rsid w:val="0F372967"/>
    <w:rsid w:val="0F3747E7"/>
    <w:rsid w:val="0F3D56F1"/>
    <w:rsid w:val="0F5107D2"/>
    <w:rsid w:val="0F5413E6"/>
    <w:rsid w:val="0F5963C8"/>
    <w:rsid w:val="0F8F0E66"/>
    <w:rsid w:val="0F906704"/>
    <w:rsid w:val="0FDA7DDA"/>
    <w:rsid w:val="0FF721A8"/>
    <w:rsid w:val="0FFA1150"/>
    <w:rsid w:val="10490BAD"/>
    <w:rsid w:val="106C0466"/>
    <w:rsid w:val="108F05CA"/>
    <w:rsid w:val="109241A4"/>
    <w:rsid w:val="109615A9"/>
    <w:rsid w:val="109658C1"/>
    <w:rsid w:val="10A81A96"/>
    <w:rsid w:val="10D6699E"/>
    <w:rsid w:val="10E63E4A"/>
    <w:rsid w:val="11104883"/>
    <w:rsid w:val="11291D63"/>
    <w:rsid w:val="112D72C6"/>
    <w:rsid w:val="113F3856"/>
    <w:rsid w:val="11683FF9"/>
    <w:rsid w:val="118038D3"/>
    <w:rsid w:val="118C0750"/>
    <w:rsid w:val="11A50508"/>
    <w:rsid w:val="11A63D04"/>
    <w:rsid w:val="11FD3DC0"/>
    <w:rsid w:val="120639A8"/>
    <w:rsid w:val="12121726"/>
    <w:rsid w:val="122250B4"/>
    <w:rsid w:val="123E5A4F"/>
    <w:rsid w:val="12447798"/>
    <w:rsid w:val="125D4125"/>
    <w:rsid w:val="12771554"/>
    <w:rsid w:val="12AA1F62"/>
    <w:rsid w:val="12AE4121"/>
    <w:rsid w:val="12B51A8D"/>
    <w:rsid w:val="12C041D4"/>
    <w:rsid w:val="12CF1D40"/>
    <w:rsid w:val="12F14732"/>
    <w:rsid w:val="12F7602D"/>
    <w:rsid w:val="13437E80"/>
    <w:rsid w:val="134C3538"/>
    <w:rsid w:val="13583391"/>
    <w:rsid w:val="137F4008"/>
    <w:rsid w:val="13866322"/>
    <w:rsid w:val="1390333E"/>
    <w:rsid w:val="139C110B"/>
    <w:rsid w:val="13A51648"/>
    <w:rsid w:val="13BE3B38"/>
    <w:rsid w:val="13C30FC1"/>
    <w:rsid w:val="13CD4D8B"/>
    <w:rsid w:val="13E476E4"/>
    <w:rsid w:val="13F672DD"/>
    <w:rsid w:val="13FB7B95"/>
    <w:rsid w:val="13FF44D4"/>
    <w:rsid w:val="140A2CA4"/>
    <w:rsid w:val="140C5848"/>
    <w:rsid w:val="1415743A"/>
    <w:rsid w:val="141B497D"/>
    <w:rsid w:val="14480142"/>
    <w:rsid w:val="144E5CD4"/>
    <w:rsid w:val="145B0E4C"/>
    <w:rsid w:val="145F0D59"/>
    <w:rsid w:val="1483457B"/>
    <w:rsid w:val="14933D0B"/>
    <w:rsid w:val="149B6760"/>
    <w:rsid w:val="149D2922"/>
    <w:rsid w:val="14BF7340"/>
    <w:rsid w:val="14CA4A78"/>
    <w:rsid w:val="14D87DF4"/>
    <w:rsid w:val="14F13DA6"/>
    <w:rsid w:val="14FF6FC2"/>
    <w:rsid w:val="15060BB2"/>
    <w:rsid w:val="150824BE"/>
    <w:rsid w:val="15220493"/>
    <w:rsid w:val="15222491"/>
    <w:rsid w:val="15286C92"/>
    <w:rsid w:val="15525599"/>
    <w:rsid w:val="155C1FAD"/>
    <w:rsid w:val="156063FA"/>
    <w:rsid w:val="156F1F39"/>
    <w:rsid w:val="157674F6"/>
    <w:rsid w:val="157A419A"/>
    <w:rsid w:val="158270AF"/>
    <w:rsid w:val="158E79FA"/>
    <w:rsid w:val="158F210D"/>
    <w:rsid w:val="159427E9"/>
    <w:rsid w:val="15AA1B7E"/>
    <w:rsid w:val="15BB0608"/>
    <w:rsid w:val="15C225B8"/>
    <w:rsid w:val="15D44A58"/>
    <w:rsid w:val="15DD5A1F"/>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3727A"/>
    <w:rsid w:val="17276F5B"/>
    <w:rsid w:val="174F4BA1"/>
    <w:rsid w:val="1764674F"/>
    <w:rsid w:val="176C095E"/>
    <w:rsid w:val="178F5381"/>
    <w:rsid w:val="179855D1"/>
    <w:rsid w:val="179F1E7A"/>
    <w:rsid w:val="17A37760"/>
    <w:rsid w:val="17A613DC"/>
    <w:rsid w:val="17AA27DB"/>
    <w:rsid w:val="17AF2DFF"/>
    <w:rsid w:val="17B943BD"/>
    <w:rsid w:val="17C527E0"/>
    <w:rsid w:val="17DD5D9F"/>
    <w:rsid w:val="18072BBA"/>
    <w:rsid w:val="180B6554"/>
    <w:rsid w:val="1831099E"/>
    <w:rsid w:val="184061B8"/>
    <w:rsid w:val="184E13FF"/>
    <w:rsid w:val="18675E2F"/>
    <w:rsid w:val="186A7F3C"/>
    <w:rsid w:val="188A0D46"/>
    <w:rsid w:val="188D7449"/>
    <w:rsid w:val="189553E8"/>
    <w:rsid w:val="189A62E8"/>
    <w:rsid w:val="18AC426F"/>
    <w:rsid w:val="18D76F2C"/>
    <w:rsid w:val="18EF4764"/>
    <w:rsid w:val="18F279A0"/>
    <w:rsid w:val="191372F1"/>
    <w:rsid w:val="191F2375"/>
    <w:rsid w:val="192A6B82"/>
    <w:rsid w:val="192A78E5"/>
    <w:rsid w:val="192C06DB"/>
    <w:rsid w:val="19607D81"/>
    <w:rsid w:val="19640C89"/>
    <w:rsid w:val="196B73C9"/>
    <w:rsid w:val="197D1DB8"/>
    <w:rsid w:val="199503FD"/>
    <w:rsid w:val="19A45D24"/>
    <w:rsid w:val="19AF5CF6"/>
    <w:rsid w:val="19C63D4F"/>
    <w:rsid w:val="19C65E12"/>
    <w:rsid w:val="19C735BB"/>
    <w:rsid w:val="19DA3A4C"/>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E00854"/>
    <w:rsid w:val="1AEA71EF"/>
    <w:rsid w:val="1AF50990"/>
    <w:rsid w:val="1B0D5CFB"/>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D34730"/>
    <w:rsid w:val="1BDF455D"/>
    <w:rsid w:val="1BEE6734"/>
    <w:rsid w:val="1C1A373E"/>
    <w:rsid w:val="1C297CFC"/>
    <w:rsid w:val="1C3571F6"/>
    <w:rsid w:val="1C3672FA"/>
    <w:rsid w:val="1C3A751E"/>
    <w:rsid w:val="1C423FC4"/>
    <w:rsid w:val="1C47233F"/>
    <w:rsid w:val="1C5D00DA"/>
    <w:rsid w:val="1C7D0C1A"/>
    <w:rsid w:val="1C7E2DD6"/>
    <w:rsid w:val="1C905109"/>
    <w:rsid w:val="1CA53FA1"/>
    <w:rsid w:val="1CAD4CCB"/>
    <w:rsid w:val="1CAF7573"/>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4729F"/>
    <w:rsid w:val="1DF679C8"/>
    <w:rsid w:val="1E224F27"/>
    <w:rsid w:val="1E2A7432"/>
    <w:rsid w:val="1E343C5D"/>
    <w:rsid w:val="1E37411F"/>
    <w:rsid w:val="1E407993"/>
    <w:rsid w:val="1E5E301B"/>
    <w:rsid w:val="1E634732"/>
    <w:rsid w:val="1E752FA6"/>
    <w:rsid w:val="1ECF1323"/>
    <w:rsid w:val="1ECF4A99"/>
    <w:rsid w:val="1EDC33BC"/>
    <w:rsid w:val="1EF72D37"/>
    <w:rsid w:val="1F211865"/>
    <w:rsid w:val="1F295D72"/>
    <w:rsid w:val="1F4325C8"/>
    <w:rsid w:val="1F520B16"/>
    <w:rsid w:val="1F595BBB"/>
    <w:rsid w:val="1F7044DA"/>
    <w:rsid w:val="1F777E85"/>
    <w:rsid w:val="1F782E4D"/>
    <w:rsid w:val="1F7C7957"/>
    <w:rsid w:val="1FC127CE"/>
    <w:rsid w:val="1FD21E35"/>
    <w:rsid w:val="1FD96681"/>
    <w:rsid w:val="1FE10390"/>
    <w:rsid w:val="1FE73560"/>
    <w:rsid w:val="1FEE7A9C"/>
    <w:rsid w:val="200E58BD"/>
    <w:rsid w:val="2041466C"/>
    <w:rsid w:val="204C064C"/>
    <w:rsid w:val="205164A7"/>
    <w:rsid w:val="206D4243"/>
    <w:rsid w:val="207714C5"/>
    <w:rsid w:val="207B590B"/>
    <w:rsid w:val="2090238B"/>
    <w:rsid w:val="209A2CD8"/>
    <w:rsid w:val="20A434B3"/>
    <w:rsid w:val="20BA4AFB"/>
    <w:rsid w:val="20BA6502"/>
    <w:rsid w:val="20CD6B95"/>
    <w:rsid w:val="20CD7D4E"/>
    <w:rsid w:val="20E20BBA"/>
    <w:rsid w:val="20E737F7"/>
    <w:rsid w:val="20EC03B6"/>
    <w:rsid w:val="20EE04E5"/>
    <w:rsid w:val="21297D3A"/>
    <w:rsid w:val="212E17DE"/>
    <w:rsid w:val="213271D8"/>
    <w:rsid w:val="213E655D"/>
    <w:rsid w:val="214D4FE0"/>
    <w:rsid w:val="215026E7"/>
    <w:rsid w:val="21592706"/>
    <w:rsid w:val="216D7544"/>
    <w:rsid w:val="21712A16"/>
    <w:rsid w:val="21825FF7"/>
    <w:rsid w:val="218E2266"/>
    <w:rsid w:val="21900AEB"/>
    <w:rsid w:val="2194776B"/>
    <w:rsid w:val="21B80AA5"/>
    <w:rsid w:val="21D2685E"/>
    <w:rsid w:val="2214054C"/>
    <w:rsid w:val="221703FC"/>
    <w:rsid w:val="222A0690"/>
    <w:rsid w:val="222A56CF"/>
    <w:rsid w:val="22305995"/>
    <w:rsid w:val="225216B5"/>
    <w:rsid w:val="225E20C5"/>
    <w:rsid w:val="227B42A0"/>
    <w:rsid w:val="228A40D4"/>
    <w:rsid w:val="228F22EB"/>
    <w:rsid w:val="228F6A6B"/>
    <w:rsid w:val="22922A7B"/>
    <w:rsid w:val="22A03D45"/>
    <w:rsid w:val="22A60967"/>
    <w:rsid w:val="22B37446"/>
    <w:rsid w:val="22BB2C46"/>
    <w:rsid w:val="22C750B8"/>
    <w:rsid w:val="22CB0F22"/>
    <w:rsid w:val="22D126DE"/>
    <w:rsid w:val="22D279A8"/>
    <w:rsid w:val="22DE275C"/>
    <w:rsid w:val="22F05B87"/>
    <w:rsid w:val="23034661"/>
    <w:rsid w:val="23047581"/>
    <w:rsid w:val="230511FB"/>
    <w:rsid w:val="230E6CDE"/>
    <w:rsid w:val="231D7D99"/>
    <w:rsid w:val="233F7861"/>
    <w:rsid w:val="2342728C"/>
    <w:rsid w:val="234F141B"/>
    <w:rsid w:val="235408E6"/>
    <w:rsid w:val="236F7B2F"/>
    <w:rsid w:val="23774488"/>
    <w:rsid w:val="23A308EE"/>
    <w:rsid w:val="23AD2144"/>
    <w:rsid w:val="23B07449"/>
    <w:rsid w:val="23CC55B1"/>
    <w:rsid w:val="23D60547"/>
    <w:rsid w:val="23EB0393"/>
    <w:rsid w:val="23EC61B5"/>
    <w:rsid w:val="23FD5BE3"/>
    <w:rsid w:val="24026629"/>
    <w:rsid w:val="24072EA9"/>
    <w:rsid w:val="2438587A"/>
    <w:rsid w:val="24386853"/>
    <w:rsid w:val="243E50DA"/>
    <w:rsid w:val="246D212F"/>
    <w:rsid w:val="24715F69"/>
    <w:rsid w:val="24760A5D"/>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6271F2"/>
    <w:rsid w:val="256E3452"/>
    <w:rsid w:val="25821C68"/>
    <w:rsid w:val="25B022B3"/>
    <w:rsid w:val="25B74631"/>
    <w:rsid w:val="25B91E90"/>
    <w:rsid w:val="25DD4552"/>
    <w:rsid w:val="25E513D9"/>
    <w:rsid w:val="25EE6A79"/>
    <w:rsid w:val="25EF43C8"/>
    <w:rsid w:val="26075FA8"/>
    <w:rsid w:val="2623756A"/>
    <w:rsid w:val="262E08BF"/>
    <w:rsid w:val="26310EA6"/>
    <w:rsid w:val="263951B2"/>
    <w:rsid w:val="263E55AD"/>
    <w:rsid w:val="264B37D3"/>
    <w:rsid w:val="265B2B39"/>
    <w:rsid w:val="267F4FDD"/>
    <w:rsid w:val="26942FFE"/>
    <w:rsid w:val="26965DCF"/>
    <w:rsid w:val="269A23BD"/>
    <w:rsid w:val="26D609E2"/>
    <w:rsid w:val="26DE1868"/>
    <w:rsid w:val="26ED14DB"/>
    <w:rsid w:val="270F3C75"/>
    <w:rsid w:val="27157D13"/>
    <w:rsid w:val="27543CE2"/>
    <w:rsid w:val="276136D1"/>
    <w:rsid w:val="2766357B"/>
    <w:rsid w:val="27814FF8"/>
    <w:rsid w:val="27885693"/>
    <w:rsid w:val="278E4856"/>
    <w:rsid w:val="27930B1B"/>
    <w:rsid w:val="279A6599"/>
    <w:rsid w:val="27A4419F"/>
    <w:rsid w:val="27A931B8"/>
    <w:rsid w:val="27AB7AFD"/>
    <w:rsid w:val="27B64635"/>
    <w:rsid w:val="27BD0876"/>
    <w:rsid w:val="27C42CCD"/>
    <w:rsid w:val="27C957F9"/>
    <w:rsid w:val="27CE6762"/>
    <w:rsid w:val="27ED6C77"/>
    <w:rsid w:val="27EF2EB7"/>
    <w:rsid w:val="27F84FA1"/>
    <w:rsid w:val="27FC6995"/>
    <w:rsid w:val="28096EEE"/>
    <w:rsid w:val="28140998"/>
    <w:rsid w:val="281C525D"/>
    <w:rsid w:val="283146AB"/>
    <w:rsid w:val="2834674F"/>
    <w:rsid w:val="28460713"/>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115557"/>
    <w:rsid w:val="29115F0D"/>
    <w:rsid w:val="291D162A"/>
    <w:rsid w:val="291F3AAD"/>
    <w:rsid w:val="291F4F8E"/>
    <w:rsid w:val="292278A9"/>
    <w:rsid w:val="29284E13"/>
    <w:rsid w:val="29307D6E"/>
    <w:rsid w:val="293262FA"/>
    <w:rsid w:val="293C6591"/>
    <w:rsid w:val="294D06B9"/>
    <w:rsid w:val="2957531C"/>
    <w:rsid w:val="298C2425"/>
    <w:rsid w:val="29A113D7"/>
    <w:rsid w:val="29A14B0F"/>
    <w:rsid w:val="29C74C47"/>
    <w:rsid w:val="29CD4516"/>
    <w:rsid w:val="29E94589"/>
    <w:rsid w:val="2A155F81"/>
    <w:rsid w:val="2A1E2DE0"/>
    <w:rsid w:val="2A250847"/>
    <w:rsid w:val="2A2B222C"/>
    <w:rsid w:val="2A331695"/>
    <w:rsid w:val="2A442E66"/>
    <w:rsid w:val="2A4A1ED4"/>
    <w:rsid w:val="2A553548"/>
    <w:rsid w:val="2A7049D1"/>
    <w:rsid w:val="2A970008"/>
    <w:rsid w:val="2AA60E99"/>
    <w:rsid w:val="2AAE5692"/>
    <w:rsid w:val="2AB04251"/>
    <w:rsid w:val="2AB04D93"/>
    <w:rsid w:val="2ABE7215"/>
    <w:rsid w:val="2AD76897"/>
    <w:rsid w:val="2ADB482F"/>
    <w:rsid w:val="2AE01B62"/>
    <w:rsid w:val="2AE558B3"/>
    <w:rsid w:val="2AE8229B"/>
    <w:rsid w:val="2AE92316"/>
    <w:rsid w:val="2AEC42E5"/>
    <w:rsid w:val="2AED4F27"/>
    <w:rsid w:val="2B034D47"/>
    <w:rsid w:val="2B2629D8"/>
    <w:rsid w:val="2B271F5E"/>
    <w:rsid w:val="2B2D1028"/>
    <w:rsid w:val="2B2E3C18"/>
    <w:rsid w:val="2B406C5D"/>
    <w:rsid w:val="2B4D413E"/>
    <w:rsid w:val="2B641C02"/>
    <w:rsid w:val="2B6F681F"/>
    <w:rsid w:val="2B8302EB"/>
    <w:rsid w:val="2B844BD6"/>
    <w:rsid w:val="2B893BA3"/>
    <w:rsid w:val="2B923A1C"/>
    <w:rsid w:val="2B992A15"/>
    <w:rsid w:val="2B9C061A"/>
    <w:rsid w:val="2B9E2538"/>
    <w:rsid w:val="2BBC1D86"/>
    <w:rsid w:val="2BC82480"/>
    <w:rsid w:val="2BEB375B"/>
    <w:rsid w:val="2BEB41DF"/>
    <w:rsid w:val="2BFB0E99"/>
    <w:rsid w:val="2C07332F"/>
    <w:rsid w:val="2C0C4D11"/>
    <w:rsid w:val="2C1A5D63"/>
    <w:rsid w:val="2C2907BF"/>
    <w:rsid w:val="2C2A3701"/>
    <w:rsid w:val="2C5A1C73"/>
    <w:rsid w:val="2C5A6041"/>
    <w:rsid w:val="2C7208C6"/>
    <w:rsid w:val="2C80477B"/>
    <w:rsid w:val="2C852D34"/>
    <w:rsid w:val="2C8F4F35"/>
    <w:rsid w:val="2CA73FE3"/>
    <w:rsid w:val="2CAD6FE3"/>
    <w:rsid w:val="2CC91D44"/>
    <w:rsid w:val="2CD46AFB"/>
    <w:rsid w:val="2CDC2898"/>
    <w:rsid w:val="2CE15438"/>
    <w:rsid w:val="2D151F6D"/>
    <w:rsid w:val="2D1D4166"/>
    <w:rsid w:val="2D291F09"/>
    <w:rsid w:val="2D3416FA"/>
    <w:rsid w:val="2D36293A"/>
    <w:rsid w:val="2D402CFE"/>
    <w:rsid w:val="2D5152AE"/>
    <w:rsid w:val="2D555CB7"/>
    <w:rsid w:val="2D595EBC"/>
    <w:rsid w:val="2D5E586A"/>
    <w:rsid w:val="2D61248D"/>
    <w:rsid w:val="2D68440E"/>
    <w:rsid w:val="2D6D5152"/>
    <w:rsid w:val="2D812190"/>
    <w:rsid w:val="2DA94150"/>
    <w:rsid w:val="2DBB0B00"/>
    <w:rsid w:val="2DD854F5"/>
    <w:rsid w:val="2DEA643F"/>
    <w:rsid w:val="2E000AC6"/>
    <w:rsid w:val="2E0C79CF"/>
    <w:rsid w:val="2E1176AC"/>
    <w:rsid w:val="2E26750E"/>
    <w:rsid w:val="2E2701FF"/>
    <w:rsid w:val="2E273353"/>
    <w:rsid w:val="2E2D216F"/>
    <w:rsid w:val="2E434249"/>
    <w:rsid w:val="2E51332D"/>
    <w:rsid w:val="2E613ECA"/>
    <w:rsid w:val="2EA4705E"/>
    <w:rsid w:val="2EA5244A"/>
    <w:rsid w:val="2EC872A0"/>
    <w:rsid w:val="2ECB7AE0"/>
    <w:rsid w:val="2EEA1087"/>
    <w:rsid w:val="2EEF5B78"/>
    <w:rsid w:val="2EF90C24"/>
    <w:rsid w:val="2F0E5D72"/>
    <w:rsid w:val="2F235269"/>
    <w:rsid w:val="2F322289"/>
    <w:rsid w:val="2F3770E3"/>
    <w:rsid w:val="2F413C94"/>
    <w:rsid w:val="2F494297"/>
    <w:rsid w:val="2F4B1C2D"/>
    <w:rsid w:val="2F691CE7"/>
    <w:rsid w:val="2F787B26"/>
    <w:rsid w:val="2F7D0DE5"/>
    <w:rsid w:val="2F7F3D54"/>
    <w:rsid w:val="2F8B2E0E"/>
    <w:rsid w:val="2F907976"/>
    <w:rsid w:val="2FA442D1"/>
    <w:rsid w:val="2FC15AF9"/>
    <w:rsid w:val="2FCF12B0"/>
    <w:rsid w:val="2FDC4E75"/>
    <w:rsid w:val="301334D4"/>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F1022"/>
    <w:rsid w:val="30FF1DEC"/>
    <w:rsid w:val="3103748A"/>
    <w:rsid w:val="310D7287"/>
    <w:rsid w:val="312C2F69"/>
    <w:rsid w:val="313A0372"/>
    <w:rsid w:val="31414D46"/>
    <w:rsid w:val="3162168B"/>
    <w:rsid w:val="316535BE"/>
    <w:rsid w:val="316C26E3"/>
    <w:rsid w:val="31B6217A"/>
    <w:rsid w:val="31BF532C"/>
    <w:rsid w:val="31E57565"/>
    <w:rsid w:val="31F27F9B"/>
    <w:rsid w:val="31F72F19"/>
    <w:rsid w:val="321A22CD"/>
    <w:rsid w:val="32305666"/>
    <w:rsid w:val="32452FD4"/>
    <w:rsid w:val="3254692A"/>
    <w:rsid w:val="32582533"/>
    <w:rsid w:val="32601632"/>
    <w:rsid w:val="32743FF8"/>
    <w:rsid w:val="328D4D87"/>
    <w:rsid w:val="328F399D"/>
    <w:rsid w:val="32946609"/>
    <w:rsid w:val="32987EA1"/>
    <w:rsid w:val="32A57DB8"/>
    <w:rsid w:val="32EC2013"/>
    <w:rsid w:val="32F7411E"/>
    <w:rsid w:val="33021368"/>
    <w:rsid w:val="33093C5C"/>
    <w:rsid w:val="33121D18"/>
    <w:rsid w:val="33133DBA"/>
    <w:rsid w:val="33294831"/>
    <w:rsid w:val="332C5A43"/>
    <w:rsid w:val="33324BBF"/>
    <w:rsid w:val="334138EA"/>
    <w:rsid w:val="33491F36"/>
    <w:rsid w:val="33664E15"/>
    <w:rsid w:val="3373089A"/>
    <w:rsid w:val="33883009"/>
    <w:rsid w:val="33917AD8"/>
    <w:rsid w:val="339433F2"/>
    <w:rsid w:val="339F751B"/>
    <w:rsid w:val="33B2596A"/>
    <w:rsid w:val="33BF1A08"/>
    <w:rsid w:val="33C65B01"/>
    <w:rsid w:val="33CC2F57"/>
    <w:rsid w:val="33D07732"/>
    <w:rsid w:val="33D44147"/>
    <w:rsid w:val="33DF3033"/>
    <w:rsid w:val="33FA7A53"/>
    <w:rsid w:val="33FE59C9"/>
    <w:rsid w:val="34110FF9"/>
    <w:rsid w:val="3421003E"/>
    <w:rsid w:val="342542D1"/>
    <w:rsid w:val="342B07D0"/>
    <w:rsid w:val="3431732F"/>
    <w:rsid w:val="34385515"/>
    <w:rsid w:val="344175CA"/>
    <w:rsid w:val="346C2BDC"/>
    <w:rsid w:val="346F0383"/>
    <w:rsid w:val="347A4842"/>
    <w:rsid w:val="347C1F8E"/>
    <w:rsid w:val="349A14CC"/>
    <w:rsid w:val="349E15E4"/>
    <w:rsid w:val="349E7311"/>
    <w:rsid w:val="34AC3B1F"/>
    <w:rsid w:val="34E63221"/>
    <w:rsid w:val="34EA3595"/>
    <w:rsid w:val="34F31159"/>
    <w:rsid w:val="34F61BA3"/>
    <w:rsid w:val="35015811"/>
    <w:rsid w:val="35045109"/>
    <w:rsid w:val="35063773"/>
    <w:rsid w:val="350C0171"/>
    <w:rsid w:val="35314625"/>
    <w:rsid w:val="35544143"/>
    <w:rsid w:val="3557388E"/>
    <w:rsid w:val="35684E72"/>
    <w:rsid w:val="357201A0"/>
    <w:rsid w:val="35830EE1"/>
    <w:rsid w:val="35AE4747"/>
    <w:rsid w:val="35D34EB8"/>
    <w:rsid w:val="35D43768"/>
    <w:rsid w:val="35E71299"/>
    <w:rsid w:val="35E72F09"/>
    <w:rsid w:val="35F26505"/>
    <w:rsid w:val="35FD0561"/>
    <w:rsid w:val="361A0DD1"/>
    <w:rsid w:val="363A75C1"/>
    <w:rsid w:val="368E7AA5"/>
    <w:rsid w:val="36950F43"/>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235D83"/>
    <w:rsid w:val="373C1BA5"/>
    <w:rsid w:val="373D426B"/>
    <w:rsid w:val="374D082D"/>
    <w:rsid w:val="37836450"/>
    <w:rsid w:val="378E57E2"/>
    <w:rsid w:val="379452EB"/>
    <w:rsid w:val="379C6437"/>
    <w:rsid w:val="37A42BA6"/>
    <w:rsid w:val="37B67EF6"/>
    <w:rsid w:val="37BF2765"/>
    <w:rsid w:val="37C3034A"/>
    <w:rsid w:val="37CC5E94"/>
    <w:rsid w:val="37D664EB"/>
    <w:rsid w:val="38012801"/>
    <w:rsid w:val="380A2593"/>
    <w:rsid w:val="380F4764"/>
    <w:rsid w:val="380F6191"/>
    <w:rsid w:val="38166E46"/>
    <w:rsid w:val="381A0093"/>
    <w:rsid w:val="383266B3"/>
    <w:rsid w:val="3863271E"/>
    <w:rsid w:val="386C1CFB"/>
    <w:rsid w:val="38804766"/>
    <w:rsid w:val="388B6EBF"/>
    <w:rsid w:val="388C38C8"/>
    <w:rsid w:val="388E6306"/>
    <w:rsid w:val="3891144C"/>
    <w:rsid w:val="38A343C3"/>
    <w:rsid w:val="38C927B2"/>
    <w:rsid w:val="38CA0360"/>
    <w:rsid w:val="38CA762F"/>
    <w:rsid w:val="38D02CFA"/>
    <w:rsid w:val="38DA32F7"/>
    <w:rsid w:val="38DC63BC"/>
    <w:rsid w:val="38E40513"/>
    <w:rsid w:val="38E73213"/>
    <w:rsid w:val="38F217F7"/>
    <w:rsid w:val="38FA7B59"/>
    <w:rsid w:val="38FF405F"/>
    <w:rsid w:val="39001510"/>
    <w:rsid w:val="391A7C24"/>
    <w:rsid w:val="393853EE"/>
    <w:rsid w:val="393C349F"/>
    <w:rsid w:val="39414A49"/>
    <w:rsid w:val="39474FFC"/>
    <w:rsid w:val="39485EE8"/>
    <w:rsid w:val="39A12E64"/>
    <w:rsid w:val="39AC270E"/>
    <w:rsid w:val="39BC72AB"/>
    <w:rsid w:val="39BF0DA5"/>
    <w:rsid w:val="39E030FB"/>
    <w:rsid w:val="39E551C2"/>
    <w:rsid w:val="3A004EFB"/>
    <w:rsid w:val="3A1D668F"/>
    <w:rsid w:val="3A280D85"/>
    <w:rsid w:val="3A5C417E"/>
    <w:rsid w:val="3A651C7C"/>
    <w:rsid w:val="3A8C19A6"/>
    <w:rsid w:val="3A985F9F"/>
    <w:rsid w:val="3A9D79B4"/>
    <w:rsid w:val="3AA60A47"/>
    <w:rsid w:val="3ABD7DB0"/>
    <w:rsid w:val="3ABE7AAF"/>
    <w:rsid w:val="3AC24EB4"/>
    <w:rsid w:val="3AC60874"/>
    <w:rsid w:val="3AC906BD"/>
    <w:rsid w:val="3AC909EA"/>
    <w:rsid w:val="3ACA79CB"/>
    <w:rsid w:val="3ACD696C"/>
    <w:rsid w:val="3AF15211"/>
    <w:rsid w:val="3AF80E99"/>
    <w:rsid w:val="3B0048B4"/>
    <w:rsid w:val="3B13533E"/>
    <w:rsid w:val="3B1D04C9"/>
    <w:rsid w:val="3B3F122D"/>
    <w:rsid w:val="3B564493"/>
    <w:rsid w:val="3B68666D"/>
    <w:rsid w:val="3B7457AD"/>
    <w:rsid w:val="3B7B144D"/>
    <w:rsid w:val="3B7F12F6"/>
    <w:rsid w:val="3B920EC0"/>
    <w:rsid w:val="3B924465"/>
    <w:rsid w:val="3B9C5361"/>
    <w:rsid w:val="3BA53541"/>
    <w:rsid w:val="3BA94452"/>
    <w:rsid w:val="3BFC0B7A"/>
    <w:rsid w:val="3C031B6A"/>
    <w:rsid w:val="3C1A13D5"/>
    <w:rsid w:val="3C1F3CDD"/>
    <w:rsid w:val="3C3318F7"/>
    <w:rsid w:val="3C5A7C30"/>
    <w:rsid w:val="3C7A34E1"/>
    <w:rsid w:val="3C857E1F"/>
    <w:rsid w:val="3C8B2EA4"/>
    <w:rsid w:val="3C98267C"/>
    <w:rsid w:val="3C9A76B6"/>
    <w:rsid w:val="3CA02F85"/>
    <w:rsid w:val="3CA30E32"/>
    <w:rsid w:val="3CAE115E"/>
    <w:rsid w:val="3CB6404C"/>
    <w:rsid w:val="3CC85F33"/>
    <w:rsid w:val="3CCB3008"/>
    <w:rsid w:val="3D004F11"/>
    <w:rsid w:val="3D005676"/>
    <w:rsid w:val="3D0970C8"/>
    <w:rsid w:val="3D230EF3"/>
    <w:rsid w:val="3D42795C"/>
    <w:rsid w:val="3D5A19A0"/>
    <w:rsid w:val="3D5D4541"/>
    <w:rsid w:val="3D606F86"/>
    <w:rsid w:val="3D6F2596"/>
    <w:rsid w:val="3D753E3B"/>
    <w:rsid w:val="3D7961D3"/>
    <w:rsid w:val="3D8F6A91"/>
    <w:rsid w:val="3DAD0C31"/>
    <w:rsid w:val="3DC16634"/>
    <w:rsid w:val="3DCB2FFC"/>
    <w:rsid w:val="3DCC4627"/>
    <w:rsid w:val="3DD00AF4"/>
    <w:rsid w:val="3DD16176"/>
    <w:rsid w:val="3DD7787E"/>
    <w:rsid w:val="3DE87386"/>
    <w:rsid w:val="3DF50B5D"/>
    <w:rsid w:val="3DFB0640"/>
    <w:rsid w:val="3E0061CE"/>
    <w:rsid w:val="3E1A5B77"/>
    <w:rsid w:val="3E3D115C"/>
    <w:rsid w:val="3E4E1DB0"/>
    <w:rsid w:val="3E575439"/>
    <w:rsid w:val="3E7A1E1B"/>
    <w:rsid w:val="3E816ACA"/>
    <w:rsid w:val="3E85107A"/>
    <w:rsid w:val="3E970AC1"/>
    <w:rsid w:val="3EB25E64"/>
    <w:rsid w:val="3EB57E73"/>
    <w:rsid w:val="3EBA3F51"/>
    <w:rsid w:val="3ECE6FC8"/>
    <w:rsid w:val="3ED90D52"/>
    <w:rsid w:val="3EDA32C4"/>
    <w:rsid w:val="3EE75AFB"/>
    <w:rsid w:val="3EE84598"/>
    <w:rsid w:val="3EFA1463"/>
    <w:rsid w:val="3EFB0DA2"/>
    <w:rsid w:val="3F015166"/>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6623B1"/>
    <w:rsid w:val="40674790"/>
    <w:rsid w:val="406B17E1"/>
    <w:rsid w:val="40705D5D"/>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153CB9"/>
    <w:rsid w:val="42173DAF"/>
    <w:rsid w:val="422C5034"/>
    <w:rsid w:val="422F559A"/>
    <w:rsid w:val="424878B4"/>
    <w:rsid w:val="42706590"/>
    <w:rsid w:val="427425EE"/>
    <w:rsid w:val="428F581C"/>
    <w:rsid w:val="4298064E"/>
    <w:rsid w:val="4299467D"/>
    <w:rsid w:val="429D346C"/>
    <w:rsid w:val="429E77EF"/>
    <w:rsid w:val="42A0076D"/>
    <w:rsid w:val="42AC5A74"/>
    <w:rsid w:val="42AD71C2"/>
    <w:rsid w:val="42AE14DC"/>
    <w:rsid w:val="42B540EF"/>
    <w:rsid w:val="42BA57D6"/>
    <w:rsid w:val="42C25CC7"/>
    <w:rsid w:val="42C843A0"/>
    <w:rsid w:val="42F20CDD"/>
    <w:rsid w:val="42F93C76"/>
    <w:rsid w:val="430831F4"/>
    <w:rsid w:val="43090B64"/>
    <w:rsid w:val="432E7531"/>
    <w:rsid w:val="434941B7"/>
    <w:rsid w:val="436551FA"/>
    <w:rsid w:val="43776349"/>
    <w:rsid w:val="43A46A86"/>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51801"/>
    <w:rsid w:val="44ED06E5"/>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C5BD8"/>
    <w:rsid w:val="45A36544"/>
    <w:rsid w:val="45A91BE1"/>
    <w:rsid w:val="45AA59A9"/>
    <w:rsid w:val="45B01F58"/>
    <w:rsid w:val="45B20B88"/>
    <w:rsid w:val="45B5636D"/>
    <w:rsid w:val="45C12874"/>
    <w:rsid w:val="45D35459"/>
    <w:rsid w:val="45D46A79"/>
    <w:rsid w:val="45DB4490"/>
    <w:rsid w:val="45E86B72"/>
    <w:rsid w:val="45ED56E7"/>
    <w:rsid w:val="45F60A50"/>
    <w:rsid w:val="46036BC7"/>
    <w:rsid w:val="461C511A"/>
    <w:rsid w:val="462778C6"/>
    <w:rsid w:val="46462F04"/>
    <w:rsid w:val="46545EC0"/>
    <w:rsid w:val="46554BE7"/>
    <w:rsid w:val="465B1E86"/>
    <w:rsid w:val="465E648A"/>
    <w:rsid w:val="46604D97"/>
    <w:rsid w:val="467847A0"/>
    <w:rsid w:val="4697740A"/>
    <w:rsid w:val="46C6208F"/>
    <w:rsid w:val="46DA12C7"/>
    <w:rsid w:val="46EF544C"/>
    <w:rsid w:val="46F714E0"/>
    <w:rsid w:val="46F91A62"/>
    <w:rsid w:val="471C6A14"/>
    <w:rsid w:val="473010D7"/>
    <w:rsid w:val="4732695E"/>
    <w:rsid w:val="47334610"/>
    <w:rsid w:val="4753781A"/>
    <w:rsid w:val="47927375"/>
    <w:rsid w:val="47971FDC"/>
    <w:rsid w:val="479D1728"/>
    <w:rsid w:val="47A928F1"/>
    <w:rsid w:val="47C806EC"/>
    <w:rsid w:val="47F0637D"/>
    <w:rsid w:val="47F40E9D"/>
    <w:rsid w:val="48125136"/>
    <w:rsid w:val="481C0CDA"/>
    <w:rsid w:val="481C6030"/>
    <w:rsid w:val="48252F6B"/>
    <w:rsid w:val="482C6CD1"/>
    <w:rsid w:val="4853345A"/>
    <w:rsid w:val="48622F87"/>
    <w:rsid w:val="48782922"/>
    <w:rsid w:val="48845C84"/>
    <w:rsid w:val="48914098"/>
    <w:rsid w:val="48973F32"/>
    <w:rsid w:val="489C44D3"/>
    <w:rsid w:val="489F483A"/>
    <w:rsid w:val="48C82BE2"/>
    <w:rsid w:val="48CE17E0"/>
    <w:rsid w:val="48F82FC3"/>
    <w:rsid w:val="49095F7E"/>
    <w:rsid w:val="490D059B"/>
    <w:rsid w:val="490D3059"/>
    <w:rsid w:val="491C2233"/>
    <w:rsid w:val="492F6EA2"/>
    <w:rsid w:val="49317DE6"/>
    <w:rsid w:val="494A394A"/>
    <w:rsid w:val="494C1910"/>
    <w:rsid w:val="49500FEB"/>
    <w:rsid w:val="49751781"/>
    <w:rsid w:val="4976679A"/>
    <w:rsid w:val="4982678C"/>
    <w:rsid w:val="49982D33"/>
    <w:rsid w:val="49C4340C"/>
    <w:rsid w:val="49C4368E"/>
    <w:rsid w:val="49C46503"/>
    <w:rsid w:val="49DD7EFB"/>
    <w:rsid w:val="49E077A2"/>
    <w:rsid w:val="49F32E1B"/>
    <w:rsid w:val="49F36AE3"/>
    <w:rsid w:val="49FF1C1E"/>
    <w:rsid w:val="4A0B7057"/>
    <w:rsid w:val="4A280667"/>
    <w:rsid w:val="4A325FE0"/>
    <w:rsid w:val="4A3845D4"/>
    <w:rsid w:val="4A495F41"/>
    <w:rsid w:val="4A511B6E"/>
    <w:rsid w:val="4A7C4548"/>
    <w:rsid w:val="4A863BCC"/>
    <w:rsid w:val="4A8E1463"/>
    <w:rsid w:val="4AB043A7"/>
    <w:rsid w:val="4AC15779"/>
    <w:rsid w:val="4AD202C9"/>
    <w:rsid w:val="4ADE2C90"/>
    <w:rsid w:val="4AEE473A"/>
    <w:rsid w:val="4AF03277"/>
    <w:rsid w:val="4B2A6621"/>
    <w:rsid w:val="4B3D6072"/>
    <w:rsid w:val="4B3F449C"/>
    <w:rsid w:val="4B5B5B93"/>
    <w:rsid w:val="4B7606DB"/>
    <w:rsid w:val="4B7F2D98"/>
    <w:rsid w:val="4B850E6F"/>
    <w:rsid w:val="4B901389"/>
    <w:rsid w:val="4B986207"/>
    <w:rsid w:val="4B987896"/>
    <w:rsid w:val="4B9969CA"/>
    <w:rsid w:val="4BA04F33"/>
    <w:rsid w:val="4BC05ECF"/>
    <w:rsid w:val="4BD05051"/>
    <w:rsid w:val="4BF66867"/>
    <w:rsid w:val="4BFE2AE1"/>
    <w:rsid w:val="4C054590"/>
    <w:rsid w:val="4C0C6994"/>
    <w:rsid w:val="4C292792"/>
    <w:rsid w:val="4C2C30BE"/>
    <w:rsid w:val="4C2C46A1"/>
    <w:rsid w:val="4C3A2A9D"/>
    <w:rsid w:val="4C5A4EBB"/>
    <w:rsid w:val="4C5D2EB7"/>
    <w:rsid w:val="4C662364"/>
    <w:rsid w:val="4C6B32F7"/>
    <w:rsid w:val="4C7C3579"/>
    <w:rsid w:val="4C8A164A"/>
    <w:rsid w:val="4C8B5DCD"/>
    <w:rsid w:val="4C8D7B0E"/>
    <w:rsid w:val="4C984AEE"/>
    <w:rsid w:val="4CB629EB"/>
    <w:rsid w:val="4CBD15B4"/>
    <w:rsid w:val="4CBF03D6"/>
    <w:rsid w:val="4CFE4516"/>
    <w:rsid w:val="4CFF6DF1"/>
    <w:rsid w:val="4D014AEF"/>
    <w:rsid w:val="4D105B68"/>
    <w:rsid w:val="4D1E3273"/>
    <w:rsid w:val="4D2204B2"/>
    <w:rsid w:val="4D513299"/>
    <w:rsid w:val="4D680CE9"/>
    <w:rsid w:val="4D800373"/>
    <w:rsid w:val="4D8D2AE5"/>
    <w:rsid w:val="4D9D5F78"/>
    <w:rsid w:val="4D9E74D1"/>
    <w:rsid w:val="4DA22392"/>
    <w:rsid w:val="4DBC2EE2"/>
    <w:rsid w:val="4DBE5704"/>
    <w:rsid w:val="4DEC4B69"/>
    <w:rsid w:val="4DF96CBC"/>
    <w:rsid w:val="4E0F493A"/>
    <w:rsid w:val="4E171ADD"/>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86AC1"/>
    <w:rsid w:val="4F1E2479"/>
    <w:rsid w:val="4F670186"/>
    <w:rsid w:val="4F6E77B9"/>
    <w:rsid w:val="4F7932B9"/>
    <w:rsid w:val="4F79613F"/>
    <w:rsid w:val="4F7A3958"/>
    <w:rsid w:val="4F813AF7"/>
    <w:rsid w:val="4F823122"/>
    <w:rsid w:val="4F865BE9"/>
    <w:rsid w:val="4FA1011C"/>
    <w:rsid w:val="4FA5289F"/>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B15B6"/>
    <w:rsid w:val="50413B4E"/>
    <w:rsid w:val="504A5F6D"/>
    <w:rsid w:val="504B661D"/>
    <w:rsid w:val="504D266B"/>
    <w:rsid w:val="504E5AC6"/>
    <w:rsid w:val="505076EF"/>
    <w:rsid w:val="505D5B88"/>
    <w:rsid w:val="505F3BD5"/>
    <w:rsid w:val="50712488"/>
    <w:rsid w:val="50757347"/>
    <w:rsid w:val="507820B7"/>
    <w:rsid w:val="508A0B34"/>
    <w:rsid w:val="509A0302"/>
    <w:rsid w:val="509B767D"/>
    <w:rsid w:val="50BE437A"/>
    <w:rsid w:val="50C953D1"/>
    <w:rsid w:val="50E042AF"/>
    <w:rsid w:val="50E77A58"/>
    <w:rsid w:val="511836CB"/>
    <w:rsid w:val="51394C04"/>
    <w:rsid w:val="513C5648"/>
    <w:rsid w:val="515143AB"/>
    <w:rsid w:val="515A17DC"/>
    <w:rsid w:val="51685DFA"/>
    <w:rsid w:val="51705953"/>
    <w:rsid w:val="51725D98"/>
    <w:rsid w:val="51736098"/>
    <w:rsid w:val="517B7B1C"/>
    <w:rsid w:val="518C69D5"/>
    <w:rsid w:val="51B14BED"/>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963B66"/>
    <w:rsid w:val="52A07902"/>
    <w:rsid w:val="52D71166"/>
    <w:rsid w:val="52E60C81"/>
    <w:rsid w:val="52FF3969"/>
    <w:rsid w:val="531E2281"/>
    <w:rsid w:val="53793823"/>
    <w:rsid w:val="537B7A51"/>
    <w:rsid w:val="53851D77"/>
    <w:rsid w:val="53906F76"/>
    <w:rsid w:val="539874D1"/>
    <w:rsid w:val="53A900B3"/>
    <w:rsid w:val="53BE4BF9"/>
    <w:rsid w:val="53D37BF3"/>
    <w:rsid w:val="53D43A38"/>
    <w:rsid w:val="53D65728"/>
    <w:rsid w:val="53DB0569"/>
    <w:rsid w:val="53FE42EB"/>
    <w:rsid w:val="53FF3ABE"/>
    <w:rsid w:val="54175BE1"/>
    <w:rsid w:val="54192F65"/>
    <w:rsid w:val="5445166E"/>
    <w:rsid w:val="54632332"/>
    <w:rsid w:val="546A5504"/>
    <w:rsid w:val="546F0D2A"/>
    <w:rsid w:val="547236DF"/>
    <w:rsid w:val="547B4986"/>
    <w:rsid w:val="54944CE7"/>
    <w:rsid w:val="549555A5"/>
    <w:rsid w:val="54D62DF7"/>
    <w:rsid w:val="54E95C39"/>
    <w:rsid w:val="54F54ADE"/>
    <w:rsid w:val="54FC00A7"/>
    <w:rsid w:val="551B4BD7"/>
    <w:rsid w:val="552A54CB"/>
    <w:rsid w:val="553426D6"/>
    <w:rsid w:val="55436523"/>
    <w:rsid w:val="554575FA"/>
    <w:rsid w:val="55496DF8"/>
    <w:rsid w:val="554E1565"/>
    <w:rsid w:val="555125B1"/>
    <w:rsid w:val="55545557"/>
    <w:rsid w:val="556A455B"/>
    <w:rsid w:val="55852483"/>
    <w:rsid w:val="55AD541E"/>
    <w:rsid w:val="55B027EB"/>
    <w:rsid w:val="55BC338C"/>
    <w:rsid w:val="55C232F1"/>
    <w:rsid w:val="55CA20E9"/>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E12A1"/>
    <w:rsid w:val="56915A65"/>
    <w:rsid w:val="56A63821"/>
    <w:rsid w:val="56AA0A07"/>
    <w:rsid w:val="56AA6DC0"/>
    <w:rsid w:val="56C44CD3"/>
    <w:rsid w:val="56D75436"/>
    <w:rsid w:val="56DB045D"/>
    <w:rsid w:val="56E17FE8"/>
    <w:rsid w:val="56E83A21"/>
    <w:rsid w:val="57213FE5"/>
    <w:rsid w:val="575426FE"/>
    <w:rsid w:val="575F25E8"/>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72028B"/>
    <w:rsid w:val="588459A1"/>
    <w:rsid w:val="588F2A57"/>
    <w:rsid w:val="58983966"/>
    <w:rsid w:val="589E3B99"/>
    <w:rsid w:val="589F3533"/>
    <w:rsid w:val="58AC162C"/>
    <w:rsid w:val="58CA78F9"/>
    <w:rsid w:val="58D46D1B"/>
    <w:rsid w:val="58EB54CA"/>
    <w:rsid w:val="58F5414C"/>
    <w:rsid w:val="58FF6291"/>
    <w:rsid w:val="590B15D2"/>
    <w:rsid w:val="59143609"/>
    <w:rsid w:val="592C48F9"/>
    <w:rsid w:val="593261D2"/>
    <w:rsid w:val="59423730"/>
    <w:rsid w:val="59506815"/>
    <w:rsid w:val="59517F98"/>
    <w:rsid w:val="59586CE1"/>
    <w:rsid w:val="595A6E9E"/>
    <w:rsid w:val="597E00DF"/>
    <w:rsid w:val="5980128D"/>
    <w:rsid w:val="59C61854"/>
    <w:rsid w:val="59E81791"/>
    <w:rsid w:val="59FB6BE2"/>
    <w:rsid w:val="5A06033D"/>
    <w:rsid w:val="5A0E79AC"/>
    <w:rsid w:val="5A0F0265"/>
    <w:rsid w:val="5A123B05"/>
    <w:rsid w:val="5A142254"/>
    <w:rsid w:val="5A496BD5"/>
    <w:rsid w:val="5A4B2EA3"/>
    <w:rsid w:val="5A6934B1"/>
    <w:rsid w:val="5A8D4FC0"/>
    <w:rsid w:val="5A8F1C82"/>
    <w:rsid w:val="5AA04D8D"/>
    <w:rsid w:val="5AA333BB"/>
    <w:rsid w:val="5AB53D99"/>
    <w:rsid w:val="5ABD694F"/>
    <w:rsid w:val="5AC4773A"/>
    <w:rsid w:val="5ACF620B"/>
    <w:rsid w:val="5AD85D6C"/>
    <w:rsid w:val="5AFF5DE6"/>
    <w:rsid w:val="5B111BFC"/>
    <w:rsid w:val="5B1D47A6"/>
    <w:rsid w:val="5B1E6976"/>
    <w:rsid w:val="5B2F4CAA"/>
    <w:rsid w:val="5B4026E8"/>
    <w:rsid w:val="5B4516CD"/>
    <w:rsid w:val="5B482E24"/>
    <w:rsid w:val="5B5A4228"/>
    <w:rsid w:val="5B686AC1"/>
    <w:rsid w:val="5B853A54"/>
    <w:rsid w:val="5B8B1199"/>
    <w:rsid w:val="5B9D08DB"/>
    <w:rsid w:val="5BAD5A86"/>
    <w:rsid w:val="5BCD41C3"/>
    <w:rsid w:val="5BD429A6"/>
    <w:rsid w:val="5C0025C0"/>
    <w:rsid w:val="5C180007"/>
    <w:rsid w:val="5C64023D"/>
    <w:rsid w:val="5C6D1CB7"/>
    <w:rsid w:val="5C731C61"/>
    <w:rsid w:val="5C7625DE"/>
    <w:rsid w:val="5C8005B3"/>
    <w:rsid w:val="5C9050DF"/>
    <w:rsid w:val="5C9A4DB7"/>
    <w:rsid w:val="5CA00536"/>
    <w:rsid w:val="5CC016AB"/>
    <w:rsid w:val="5CC453C1"/>
    <w:rsid w:val="5CE07B6A"/>
    <w:rsid w:val="5CE61EE8"/>
    <w:rsid w:val="5D0728CF"/>
    <w:rsid w:val="5D1A01CE"/>
    <w:rsid w:val="5D1A39EE"/>
    <w:rsid w:val="5D280F3C"/>
    <w:rsid w:val="5D411FCB"/>
    <w:rsid w:val="5D494B70"/>
    <w:rsid w:val="5D5C7688"/>
    <w:rsid w:val="5D615C0F"/>
    <w:rsid w:val="5D762C66"/>
    <w:rsid w:val="5D844DB8"/>
    <w:rsid w:val="5D865E73"/>
    <w:rsid w:val="5D9F7EE8"/>
    <w:rsid w:val="5DA93319"/>
    <w:rsid w:val="5DB156E1"/>
    <w:rsid w:val="5DD65619"/>
    <w:rsid w:val="5DEF6B62"/>
    <w:rsid w:val="5DF47982"/>
    <w:rsid w:val="5E002949"/>
    <w:rsid w:val="5E0C5358"/>
    <w:rsid w:val="5E224225"/>
    <w:rsid w:val="5E2732CD"/>
    <w:rsid w:val="5E284D50"/>
    <w:rsid w:val="5E294B38"/>
    <w:rsid w:val="5E336F39"/>
    <w:rsid w:val="5E3723C6"/>
    <w:rsid w:val="5E723BE9"/>
    <w:rsid w:val="5E7464E9"/>
    <w:rsid w:val="5E7E4092"/>
    <w:rsid w:val="5E8E6492"/>
    <w:rsid w:val="5E923ECD"/>
    <w:rsid w:val="5EC00B79"/>
    <w:rsid w:val="5ED871EF"/>
    <w:rsid w:val="5EF5653C"/>
    <w:rsid w:val="5EFF2762"/>
    <w:rsid w:val="5F045F3A"/>
    <w:rsid w:val="5F0D642C"/>
    <w:rsid w:val="5F17008D"/>
    <w:rsid w:val="5F1C3DD8"/>
    <w:rsid w:val="5F3C716D"/>
    <w:rsid w:val="5F467922"/>
    <w:rsid w:val="5F4F4D0F"/>
    <w:rsid w:val="5F5B59FB"/>
    <w:rsid w:val="5F5F081B"/>
    <w:rsid w:val="5F704D56"/>
    <w:rsid w:val="5F777336"/>
    <w:rsid w:val="5F862DF9"/>
    <w:rsid w:val="5FA257C6"/>
    <w:rsid w:val="5FB47FA0"/>
    <w:rsid w:val="5FB57D4D"/>
    <w:rsid w:val="5FC6541D"/>
    <w:rsid w:val="5FCD3868"/>
    <w:rsid w:val="5FEE3BAD"/>
    <w:rsid w:val="5FF20BF7"/>
    <w:rsid w:val="5FF450F9"/>
    <w:rsid w:val="60085D9F"/>
    <w:rsid w:val="601E7125"/>
    <w:rsid w:val="60205F90"/>
    <w:rsid w:val="60217FCF"/>
    <w:rsid w:val="603F6E4B"/>
    <w:rsid w:val="604D1512"/>
    <w:rsid w:val="60512BA9"/>
    <w:rsid w:val="60595131"/>
    <w:rsid w:val="6061371C"/>
    <w:rsid w:val="606D2E98"/>
    <w:rsid w:val="608E2F6C"/>
    <w:rsid w:val="60BF382B"/>
    <w:rsid w:val="60C75F81"/>
    <w:rsid w:val="60C816A5"/>
    <w:rsid w:val="60CC3DDB"/>
    <w:rsid w:val="60DC4E84"/>
    <w:rsid w:val="60EC3C37"/>
    <w:rsid w:val="60F71F40"/>
    <w:rsid w:val="60FB2835"/>
    <w:rsid w:val="61247218"/>
    <w:rsid w:val="613D07C4"/>
    <w:rsid w:val="615C0F34"/>
    <w:rsid w:val="615C14A6"/>
    <w:rsid w:val="615F6AC2"/>
    <w:rsid w:val="61672ABF"/>
    <w:rsid w:val="617A5318"/>
    <w:rsid w:val="617C1D66"/>
    <w:rsid w:val="618B3212"/>
    <w:rsid w:val="61A058F7"/>
    <w:rsid w:val="61A93693"/>
    <w:rsid w:val="61B66917"/>
    <w:rsid w:val="61BC3B1A"/>
    <w:rsid w:val="61CD4121"/>
    <w:rsid w:val="61E107FF"/>
    <w:rsid w:val="61F2159D"/>
    <w:rsid w:val="61F4098A"/>
    <w:rsid w:val="62082A4E"/>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95413"/>
    <w:rsid w:val="64337DBE"/>
    <w:rsid w:val="643F6D4B"/>
    <w:rsid w:val="64456269"/>
    <w:rsid w:val="64467B93"/>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834C72"/>
    <w:rsid w:val="658573D0"/>
    <w:rsid w:val="658B678B"/>
    <w:rsid w:val="65A71F82"/>
    <w:rsid w:val="65C649BC"/>
    <w:rsid w:val="65E55EB8"/>
    <w:rsid w:val="65E73B66"/>
    <w:rsid w:val="66022F90"/>
    <w:rsid w:val="66044FCB"/>
    <w:rsid w:val="66131984"/>
    <w:rsid w:val="66187135"/>
    <w:rsid w:val="662831A9"/>
    <w:rsid w:val="662C4F94"/>
    <w:rsid w:val="66313D38"/>
    <w:rsid w:val="664A22D3"/>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A4A9C"/>
    <w:rsid w:val="671B4A83"/>
    <w:rsid w:val="67365593"/>
    <w:rsid w:val="67427945"/>
    <w:rsid w:val="675E2E45"/>
    <w:rsid w:val="676811E7"/>
    <w:rsid w:val="678164D2"/>
    <w:rsid w:val="67880ECE"/>
    <w:rsid w:val="67903975"/>
    <w:rsid w:val="679F6750"/>
    <w:rsid w:val="67AF4AEE"/>
    <w:rsid w:val="67BC006F"/>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612CB6"/>
    <w:rsid w:val="68667455"/>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9B1540"/>
    <w:rsid w:val="699D4818"/>
    <w:rsid w:val="69C27972"/>
    <w:rsid w:val="69C43979"/>
    <w:rsid w:val="69DC5EE6"/>
    <w:rsid w:val="6A0B7E27"/>
    <w:rsid w:val="6A15604C"/>
    <w:rsid w:val="6A2E4954"/>
    <w:rsid w:val="6A3014CE"/>
    <w:rsid w:val="6A5859DD"/>
    <w:rsid w:val="6A6A771D"/>
    <w:rsid w:val="6A6E396D"/>
    <w:rsid w:val="6A7E2CA7"/>
    <w:rsid w:val="6AA507AA"/>
    <w:rsid w:val="6AC9421D"/>
    <w:rsid w:val="6AD53613"/>
    <w:rsid w:val="6AD94F47"/>
    <w:rsid w:val="6AE641A3"/>
    <w:rsid w:val="6AE91DBD"/>
    <w:rsid w:val="6AEF29C9"/>
    <w:rsid w:val="6B281153"/>
    <w:rsid w:val="6B4C3B26"/>
    <w:rsid w:val="6B6162D1"/>
    <w:rsid w:val="6B7747FD"/>
    <w:rsid w:val="6B8D6111"/>
    <w:rsid w:val="6B9C3AE5"/>
    <w:rsid w:val="6BA924EB"/>
    <w:rsid w:val="6BB3693A"/>
    <w:rsid w:val="6BB3754C"/>
    <w:rsid w:val="6BC86908"/>
    <w:rsid w:val="6BCE245B"/>
    <w:rsid w:val="6BDB0A87"/>
    <w:rsid w:val="6BEB5350"/>
    <w:rsid w:val="6BEC7C68"/>
    <w:rsid w:val="6C39658E"/>
    <w:rsid w:val="6C4C2667"/>
    <w:rsid w:val="6CA51813"/>
    <w:rsid w:val="6CB17A00"/>
    <w:rsid w:val="6CCA6D7E"/>
    <w:rsid w:val="6CD40BE1"/>
    <w:rsid w:val="6CD46A9B"/>
    <w:rsid w:val="6CDA49A3"/>
    <w:rsid w:val="6CEC01FF"/>
    <w:rsid w:val="6CED7FA5"/>
    <w:rsid w:val="6CF00038"/>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F5C52"/>
    <w:rsid w:val="6E874588"/>
    <w:rsid w:val="6E8C7A11"/>
    <w:rsid w:val="6E9644A1"/>
    <w:rsid w:val="6EA567C2"/>
    <w:rsid w:val="6EAC6909"/>
    <w:rsid w:val="6EBA6E94"/>
    <w:rsid w:val="6EBD64D7"/>
    <w:rsid w:val="6EC95E71"/>
    <w:rsid w:val="6ECF4331"/>
    <w:rsid w:val="6ED72028"/>
    <w:rsid w:val="6ED8575C"/>
    <w:rsid w:val="6EDC5043"/>
    <w:rsid w:val="6EDD3888"/>
    <w:rsid w:val="6EE13724"/>
    <w:rsid w:val="6EE24ED6"/>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8323D0"/>
    <w:rsid w:val="6F981439"/>
    <w:rsid w:val="6FB23A01"/>
    <w:rsid w:val="6FBA4BA1"/>
    <w:rsid w:val="6FBC778D"/>
    <w:rsid w:val="6FDC4815"/>
    <w:rsid w:val="6FEA3E2C"/>
    <w:rsid w:val="6FEB04D5"/>
    <w:rsid w:val="701241A0"/>
    <w:rsid w:val="702603AF"/>
    <w:rsid w:val="70531F9D"/>
    <w:rsid w:val="705E3F40"/>
    <w:rsid w:val="70726E65"/>
    <w:rsid w:val="70DB4B36"/>
    <w:rsid w:val="70E040A3"/>
    <w:rsid w:val="70E13200"/>
    <w:rsid w:val="70E91C33"/>
    <w:rsid w:val="70FF3D31"/>
    <w:rsid w:val="710B7588"/>
    <w:rsid w:val="71124891"/>
    <w:rsid w:val="7139612D"/>
    <w:rsid w:val="714420CD"/>
    <w:rsid w:val="71466AC5"/>
    <w:rsid w:val="71546923"/>
    <w:rsid w:val="715F4C2D"/>
    <w:rsid w:val="716E56FB"/>
    <w:rsid w:val="71730FAE"/>
    <w:rsid w:val="71742846"/>
    <w:rsid w:val="71841719"/>
    <w:rsid w:val="71B15C2B"/>
    <w:rsid w:val="71E27EA1"/>
    <w:rsid w:val="72024D75"/>
    <w:rsid w:val="72026398"/>
    <w:rsid w:val="722B4090"/>
    <w:rsid w:val="723F5976"/>
    <w:rsid w:val="724530CF"/>
    <w:rsid w:val="72607C33"/>
    <w:rsid w:val="7267558B"/>
    <w:rsid w:val="726D03AB"/>
    <w:rsid w:val="7275552C"/>
    <w:rsid w:val="72766BB2"/>
    <w:rsid w:val="72944739"/>
    <w:rsid w:val="72A97A08"/>
    <w:rsid w:val="72CB7F46"/>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41927"/>
    <w:rsid w:val="738A7955"/>
    <w:rsid w:val="73A36DC3"/>
    <w:rsid w:val="73B33483"/>
    <w:rsid w:val="73DE4D67"/>
    <w:rsid w:val="73FC6BEB"/>
    <w:rsid w:val="74016246"/>
    <w:rsid w:val="741255AF"/>
    <w:rsid w:val="745A4881"/>
    <w:rsid w:val="745C121D"/>
    <w:rsid w:val="746D0FDE"/>
    <w:rsid w:val="746F3109"/>
    <w:rsid w:val="74881C43"/>
    <w:rsid w:val="749A55E5"/>
    <w:rsid w:val="74B3391B"/>
    <w:rsid w:val="74CF4EC9"/>
    <w:rsid w:val="74D552C0"/>
    <w:rsid w:val="74DB0C49"/>
    <w:rsid w:val="74E40DB3"/>
    <w:rsid w:val="74F1132B"/>
    <w:rsid w:val="7514569D"/>
    <w:rsid w:val="751B5F96"/>
    <w:rsid w:val="75310AD0"/>
    <w:rsid w:val="755A08D5"/>
    <w:rsid w:val="755C4C37"/>
    <w:rsid w:val="75622CB1"/>
    <w:rsid w:val="75772547"/>
    <w:rsid w:val="75997C5C"/>
    <w:rsid w:val="75B33C4A"/>
    <w:rsid w:val="75B84A01"/>
    <w:rsid w:val="75C863E2"/>
    <w:rsid w:val="75DA5365"/>
    <w:rsid w:val="75DE03EB"/>
    <w:rsid w:val="75EA7032"/>
    <w:rsid w:val="75EC44C9"/>
    <w:rsid w:val="75F71CA5"/>
    <w:rsid w:val="760C1517"/>
    <w:rsid w:val="7611078B"/>
    <w:rsid w:val="761A2E8D"/>
    <w:rsid w:val="7628164D"/>
    <w:rsid w:val="76375AC5"/>
    <w:rsid w:val="76475DB4"/>
    <w:rsid w:val="765062E5"/>
    <w:rsid w:val="76725203"/>
    <w:rsid w:val="767263E3"/>
    <w:rsid w:val="767955BC"/>
    <w:rsid w:val="767F6735"/>
    <w:rsid w:val="7689098F"/>
    <w:rsid w:val="768D7CD7"/>
    <w:rsid w:val="76A17FB6"/>
    <w:rsid w:val="76C2056E"/>
    <w:rsid w:val="76CE079E"/>
    <w:rsid w:val="770D2AFC"/>
    <w:rsid w:val="771B710A"/>
    <w:rsid w:val="77245AA8"/>
    <w:rsid w:val="772870FB"/>
    <w:rsid w:val="773D2757"/>
    <w:rsid w:val="77430B38"/>
    <w:rsid w:val="774B7FB7"/>
    <w:rsid w:val="774D1291"/>
    <w:rsid w:val="77504D2A"/>
    <w:rsid w:val="775E0582"/>
    <w:rsid w:val="775F4656"/>
    <w:rsid w:val="776C25E5"/>
    <w:rsid w:val="776C3E9D"/>
    <w:rsid w:val="777146DC"/>
    <w:rsid w:val="77747495"/>
    <w:rsid w:val="77813C44"/>
    <w:rsid w:val="7797606B"/>
    <w:rsid w:val="779E1F21"/>
    <w:rsid w:val="77B7237F"/>
    <w:rsid w:val="77E40842"/>
    <w:rsid w:val="77FD2C5E"/>
    <w:rsid w:val="78271104"/>
    <w:rsid w:val="7828402F"/>
    <w:rsid w:val="782F5476"/>
    <w:rsid w:val="783000F4"/>
    <w:rsid w:val="78464A37"/>
    <w:rsid w:val="784A60C8"/>
    <w:rsid w:val="784B7472"/>
    <w:rsid w:val="785E7134"/>
    <w:rsid w:val="78661ED8"/>
    <w:rsid w:val="78861A8D"/>
    <w:rsid w:val="788F779E"/>
    <w:rsid w:val="78973BA6"/>
    <w:rsid w:val="78A376CA"/>
    <w:rsid w:val="78ED42D2"/>
    <w:rsid w:val="78F76941"/>
    <w:rsid w:val="78F82ED4"/>
    <w:rsid w:val="790114CB"/>
    <w:rsid w:val="7925703F"/>
    <w:rsid w:val="7931755D"/>
    <w:rsid w:val="793424DB"/>
    <w:rsid w:val="794563F3"/>
    <w:rsid w:val="7962750F"/>
    <w:rsid w:val="796B0021"/>
    <w:rsid w:val="796F42FD"/>
    <w:rsid w:val="79701A60"/>
    <w:rsid w:val="797218E2"/>
    <w:rsid w:val="797F6705"/>
    <w:rsid w:val="79807FC2"/>
    <w:rsid w:val="799D6ABE"/>
    <w:rsid w:val="79A70B11"/>
    <w:rsid w:val="79B43C51"/>
    <w:rsid w:val="79B6170C"/>
    <w:rsid w:val="79BB3341"/>
    <w:rsid w:val="79C22F64"/>
    <w:rsid w:val="79D03D26"/>
    <w:rsid w:val="7A3466E6"/>
    <w:rsid w:val="7A410FED"/>
    <w:rsid w:val="7A4205D3"/>
    <w:rsid w:val="7A4F3DD9"/>
    <w:rsid w:val="7A577D70"/>
    <w:rsid w:val="7A5872B9"/>
    <w:rsid w:val="7A5C3640"/>
    <w:rsid w:val="7A73566B"/>
    <w:rsid w:val="7A761A22"/>
    <w:rsid w:val="7A7D4F17"/>
    <w:rsid w:val="7A801366"/>
    <w:rsid w:val="7A977FDA"/>
    <w:rsid w:val="7A9C218A"/>
    <w:rsid w:val="7A9C3F7D"/>
    <w:rsid w:val="7AB05BBC"/>
    <w:rsid w:val="7AB27F2F"/>
    <w:rsid w:val="7AB44E97"/>
    <w:rsid w:val="7AB740EE"/>
    <w:rsid w:val="7AB94AC3"/>
    <w:rsid w:val="7ABB47EB"/>
    <w:rsid w:val="7AD33C0D"/>
    <w:rsid w:val="7AE36910"/>
    <w:rsid w:val="7AEF7A90"/>
    <w:rsid w:val="7AF53C0B"/>
    <w:rsid w:val="7B07064A"/>
    <w:rsid w:val="7B0E6D55"/>
    <w:rsid w:val="7B144D45"/>
    <w:rsid w:val="7B265930"/>
    <w:rsid w:val="7B3E60A8"/>
    <w:rsid w:val="7B60366D"/>
    <w:rsid w:val="7B74384D"/>
    <w:rsid w:val="7B826E52"/>
    <w:rsid w:val="7B940404"/>
    <w:rsid w:val="7BB6238F"/>
    <w:rsid w:val="7BCA1026"/>
    <w:rsid w:val="7BD173B3"/>
    <w:rsid w:val="7BDD38EC"/>
    <w:rsid w:val="7BF8597E"/>
    <w:rsid w:val="7C12395E"/>
    <w:rsid w:val="7C14711B"/>
    <w:rsid w:val="7C1932F5"/>
    <w:rsid w:val="7C312516"/>
    <w:rsid w:val="7C45431D"/>
    <w:rsid w:val="7C4A144B"/>
    <w:rsid w:val="7C51263D"/>
    <w:rsid w:val="7C5B6D47"/>
    <w:rsid w:val="7C5E2D26"/>
    <w:rsid w:val="7C6B6B6B"/>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81439A"/>
    <w:rsid w:val="7D8F4F8D"/>
    <w:rsid w:val="7DA15D86"/>
    <w:rsid w:val="7DA47874"/>
    <w:rsid w:val="7DAC213C"/>
    <w:rsid w:val="7DAC49C4"/>
    <w:rsid w:val="7DB168E1"/>
    <w:rsid w:val="7DB44FBE"/>
    <w:rsid w:val="7DB704CD"/>
    <w:rsid w:val="7DC26A8B"/>
    <w:rsid w:val="7DC64605"/>
    <w:rsid w:val="7DCF7966"/>
    <w:rsid w:val="7DDD0501"/>
    <w:rsid w:val="7E2653BA"/>
    <w:rsid w:val="7E2B63E7"/>
    <w:rsid w:val="7E4048EE"/>
    <w:rsid w:val="7E5348C9"/>
    <w:rsid w:val="7E575DF3"/>
    <w:rsid w:val="7E8A1E6A"/>
    <w:rsid w:val="7E8B79FF"/>
    <w:rsid w:val="7E905860"/>
    <w:rsid w:val="7E9334E2"/>
    <w:rsid w:val="7E935AFB"/>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610EC"/>
    <w:rsid w:val="7F50759A"/>
    <w:rsid w:val="7F5D7BDF"/>
    <w:rsid w:val="7F62141C"/>
    <w:rsid w:val="7F6D003B"/>
    <w:rsid w:val="7F73336C"/>
    <w:rsid w:val="7F7614D8"/>
    <w:rsid w:val="7F7A7D69"/>
    <w:rsid w:val="7F8029F6"/>
    <w:rsid w:val="7F822892"/>
    <w:rsid w:val="7F875650"/>
    <w:rsid w:val="7F8A68D8"/>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15</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2024-04-08T11:51:54Z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